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356" w:type="dxa"/>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6"/>
      </w:tblGrid>
      <w:tr w:rsidR="00B01789" w:rsidTr="00BC5A54">
        <w:trPr>
          <w:trHeight w:val="624"/>
        </w:trPr>
        <w:tc>
          <w:tcPr>
            <w:tcW w:w="8356" w:type="dxa"/>
          </w:tcPr>
          <w:p w:rsidR="00B01789" w:rsidRDefault="00B01789" w:rsidP="004E2347">
            <w:pPr>
              <w:pStyle w:val="a5"/>
              <w:rPr>
                <w:rFonts w:ascii="Tahoma" w:hAnsi="Tahoma"/>
                <w:sz w:val="28"/>
                <w:szCs w:val="28"/>
                <w:rtl/>
              </w:rPr>
            </w:pPr>
            <w:bookmarkStart w:id="0" w:name="_GoBack"/>
            <w:bookmarkEnd w:id="0"/>
            <w:r w:rsidRPr="004B3A40">
              <w:rPr>
                <w:rFonts w:ascii="Tahoma" w:hAnsi="Tahoma" w:hint="cs"/>
                <w:b/>
                <w:bCs/>
                <w:sz w:val="28"/>
                <w:szCs w:val="28"/>
                <w:u w:val="single"/>
                <w:rtl/>
              </w:rPr>
              <w:t>בבית המשפט העליון בשבתו כבית משפט גבוה לצדק</w:t>
            </w:r>
          </w:p>
        </w:tc>
      </w:tr>
    </w:tbl>
    <w:p w:rsidR="00A35ADB" w:rsidRDefault="00A35ADB" w:rsidP="00860920">
      <w:pPr>
        <w:jc w:val="right"/>
        <w:rPr>
          <w:rFonts w:ascii="David" w:hAnsi="David"/>
          <w:sz w:val="26"/>
          <w:szCs w:val="26"/>
          <w:rtl/>
        </w:rPr>
      </w:pPr>
    </w:p>
    <w:p w:rsidR="0094424E" w:rsidRDefault="008D280D" w:rsidP="00566637">
      <w:pPr>
        <w:jc w:val="right"/>
        <w:rPr>
          <w:rtl/>
        </w:rPr>
      </w:pPr>
      <w:sdt>
        <w:sdtPr>
          <w:rPr>
            <w:rFonts w:ascii="David" w:hAnsi="David"/>
            <w:sz w:val="28"/>
            <w:szCs w:val="28"/>
            <w:rtl/>
          </w:rPr>
          <w:alias w:val="1170"/>
          <w:tag w:val="1170"/>
          <w:id w:val="1066377040"/>
          <w:text w:multiLine="1"/>
        </w:sdtPr>
        <w:sdtEndPr/>
        <w:sdtContent>
          <w:r w:rsidR="00F1337C">
            <w:rPr>
              <w:rFonts w:ascii="David" w:hAnsi="David"/>
              <w:b/>
              <w:bCs/>
              <w:sz w:val="28"/>
              <w:szCs w:val="28"/>
              <w:rtl/>
            </w:rPr>
            <w:t>בג"ץ</w:t>
          </w:r>
        </w:sdtContent>
      </w:sdt>
      <w:r w:rsidR="00860920" w:rsidRPr="004B3A40">
        <w:rPr>
          <w:rFonts w:ascii="David" w:hAnsi="David"/>
          <w:b/>
          <w:bCs/>
          <w:sz w:val="28"/>
          <w:szCs w:val="28"/>
          <w:rtl/>
        </w:rPr>
        <w:t xml:space="preserve"> </w:t>
      </w:r>
      <w:sdt>
        <w:sdtPr>
          <w:rPr>
            <w:rFonts w:ascii="David" w:hAnsi="David"/>
            <w:sz w:val="28"/>
            <w:szCs w:val="28"/>
            <w:rtl/>
          </w:rPr>
          <w:alias w:val="1171"/>
          <w:tag w:val="1171"/>
          <w:id w:val="257034231"/>
          <w:text w:multiLine="1"/>
        </w:sdtPr>
        <w:sdtEndPr/>
        <w:sdtContent>
          <w:r w:rsidR="00F1337C">
            <w:rPr>
              <w:rFonts w:ascii="David" w:hAnsi="David"/>
              <w:b/>
              <w:bCs/>
              <w:sz w:val="28"/>
              <w:szCs w:val="28"/>
            </w:rPr>
            <w:t>3289/24</w:t>
          </w:r>
        </w:sdtContent>
      </w:sdt>
    </w:p>
    <w:tbl>
      <w:tblPr>
        <w:tblStyle w:val="ad"/>
        <w:bidiVisual/>
        <w:tblW w:w="83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7"/>
        <w:gridCol w:w="5521"/>
        <w:gridCol w:w="7"/>
      </w:tblGrid>
      <w:tr w:rsidR="00AD1F82" w:rsidTr="00AD1F82">
        <w:trPr>
          <w:jc w:val="center"/>
        </w:trPr>
        <w:tc>
          <w:tcPr>
            <w:tcW w:w="2797" w:type="dxa"/>
            <w:hideMark/>
          </w:tcPr>
          <w:p w:rsidR="00AD1F82" w:rsidRDefault="00AD1F82">
            <w:pPr>
              <w:suppressLineNumbers/>
              <w:ind w:right="-295"/>
              <w:jc w:val="both"/>
              <w:rPr>
                <w:rFonts w:ascii="David" w:hAnsi="David"/>
                <w:sz w:val="28"/>
                <w:szCs w:val="28"/>
              </w:rPr>
            </w:pPr>
            <w:r>
              <w:rPr>
                <w:rFonts w:ascii="David" w:hAnsi="David"/>
                <w:sz w:val="28"/>
                <w:szCs w:val="28"/>
                <w:rtl/>
              </w:rPr>
              <w:t>לפני:</w:t>
            </w:r>
          </w:p>
        </w:tc>
        <w:tc>
          <w:tcPr>
            <w:tcW w:w="5528" w:type="dxa"/>
            <w:gridSpan w:val="2"/>
          </w:tcPr>
          <w:p w:rsidR="00AD1F82" w:rsidRDefault="00AD1F82">
            <w:pPr>
              <w:suppressLineNumbers/>
              <w:rPr>
                <w:rFonts w:ascii="David" w:hAnsi="David"/>
                <w:sz w:val="28"/>
                <w:szCs w:val="28"/>
                <w:rtl/>
              </w:rPr>
            </w:pPr>
            <w:r>
              <w:rPr>
                <w:rFonts w:ascii="David" w:hAnsi="David"/>
                <w:sz w:val="28"/>
                <w:szCs w:val="28"/>
                <w:rtl/>
              </w:rPr>
              <w:t>כבוד ה</w:t>
            </w:r>
            <w:sdt>
              <w:sdtPr>
                <w:rPr>
                  <w:rFonts w:ascii="David" w:hAnsi="David"/>
                  <w:sz w:val="28"/>
                  <w:szCs w:val="28"/>
                  <w:rtl/>
                </w:rPr>
                <w:alias w:val="1574"/>
                <w:tag w:val="1574"/>
                <w:id w:val="414602899"/>
                <w:text w:multiLine="1"/>
              </w:sdtPr>
              <w:sdtEndPr/>
              <w:sdtContent>
                <w:r>
                  <w:rPr>
                    <w:rFonts w:ascii="David" w:hAnsi="David"/>
                    <w:sz w:val="28"/>
                    <w:szCs w:val="28"/>
                    <w:rtl/>
                  </w:rPr>
                  <w:t>שופט</w:t>
                </w:r>
              </w:sdtContent>
            </w:sdt>
            <w:r>
              <w:rPr>
                <w:rFonts w:ascii="David" w:hAnsi="David"/>
                <w:sz w:val="28"/>
                <w:szCs w:val="28"/>
                <w:rtl/>
              </w:rPr>
              <w:t xml:space="preserve"> </w:t>
            </w:r>
            <w:sdt>
              <w:sdtPr>
                <w:rPr>
                  <w:rFonts w:ascii="David" w:hAnsi="David"/>
                  <w:sz w:val="28"/>
                  <w:szCs w:val="28"/>
                  <w:rtl/>
                </w:rPr>
                <w:alias w:val="1573"/>
                <w:tag w:val="1573"/>
                <w:id w:val="-1751030614"/>
                <w:text w:multiLine="1"/>
              </w:sdtPr>
              <w:sdtEndPr/>
              <w:sdtContent>
                <w:r>
                  <w:rPr>
                    <w:rFonts w:ascii="David" w:hAnsi="David"/>
                    <w:sz w:val="28"/>
                    <w:szCs w:val="28"/>
                    <w:rtl/>
                  </w:rPr>
                  <w:t>יצחק עמית</w:t>
                </w:r>
                <w:r>
                  <w:rPr>
                    <w:rFonts w:ascii="David" w:hAnsi="David"/>
                    <w:sz w:val="28"/>
                    <w:szCs w:val="28"/>
                    <w:rtl/>
                  </w:rPr>
                  <w:br/>
                  <w:t xml:space="preserve">כבוד השופט עופר </w:t>
                </w:r>
                <w:proofErr w:type="spellStart"/>
                <w:r>
                  <w:rPr>
                    <w:rFonts w:ascii="David" w:hAnsi="David"/>
                    <w:sz w:val="28"/>
                    <w:szCs w:val="28"/>
                    <w:rtl/>
                  </w:rPr>
                  <w:t>גרוסקופף</w:t>
                </w:r>
                <w:proofErr w:type="spellEnd"/>
                <w:r>
                  <w:rPr>
                    <w:rFonts w:ascii="David" w:hAnsi="David"/>
                    <w:sz w:val="28"/>
                    <w:szCs w:val="28"/>
                    <w:rtl/>
                  </w:rPr>
                  <w:br/>
                  <w:t>כבוד השופטת גילה כנפי-שטייניץ</w:t>
                </w:r>
              </w:sdtContent>
            </w:sdt>
          </w:p>
          <w:p w:rsidR="00AD1F82" w:rsidRDefault="00AD1F82">
            <w:pPr>
              <w:suppressLineNumbers/>
              <w:rPr>
                <w:rFonts w:ascii="David" w:hAnsi="David"/>
                <w:sz w:val="28"/>
                <w:szCs w:val="28"/>
                <w:rtl/>
              </w:rPr>
            </w:pPr>
          </w:p>
        </w:tc>
      </w:tr>
      <w:tr w:rsidR="00AD1F82" w:rsidTr="00AD1F82">
        <w:trPr>
          <w:gridAfter w:val="1"/>
          <w:wAfter w:w="7" w:type="dxa"/>
          <w:jc w:val="center"/>
        </w:trPr>
        <w:tc>
          <w:tcPr>
            <w:tcW w:w="2797" w:type="dxa"/>
            <w:hideMark/>
          </w:tcPr>
          <w:p w:rsidR="00AD1F82" w:rsidRDefault="00AD1F82">
            <w:pPr>
              <w:suppressLineNumbers/>
              <w:rPr>
                <w:rFonts w:ascii="David" w:hAnsi="David"/>
                <w:sz w:val="28"/>
                <w:szCs w:val="28"/>
              </w:rPr>
            </w:pPr>
            <w:r>
              <w:rPr>
                <w:rFonts w:ascii="David" w:hAnsi="David"/>
                <w:sz w:val="28"/>
                <w:szCs w:val="28"/>
                <w:rtl/>
              </w:rPr>
              <w:t>ה</w:t>
            </w:r>
            <w:sdt>
              <w:sdtPr>
                <w:rPr>
                  <w:rFonts w:ascii="David" w:hAnsi="David"/>
                  <w:sz w:val="28"/>
                  <w:szCs w:val="28"/>
                  <w:rtl/>
                </w:rPr>
                <w:alias w:val="1180"/>
                <w:tag w:val="1180"/>
                <w:id w:val="637458750"/>
                <w:text w:multiLine="1"/>
              </w:sdtPr>
              <w:sdtEndPr/>
              <w:sdtContent>
                <w:r>
                  <w:rPr>
                    <w:rFonts w:ascii="David" w:hAnsi="David"/>
                    <w:sz w:val="28"/>
                    <w:szCs w:val="28"/>
                    <w:rtl/>
                  </w:rPr>
                  <w:t>עותרים</w:t>
                </w:r>
              </w:sdtContent>
            </w:sdt>
            <w:r>
              <w:rPr>
                <w:rFonts w:ascii="David" w:hAnsi="David"/>
                <w:sz w:val="28"/>
                <w:szCs w:val="28"/>
                <w:rtl/>
              </w:rPr>
              <w:t>:</w:t>
            </w:r>
          </w:p>
        </w:tc>
        <w:tc>
          <w:tcPr>
            <w:tcW w:w="5521" w:type="dxa"/>
            <w:hideMark/>
          </w:tcPr>
          <w:p w:rsidR="00AD1F82" w:rsidRDefault="008D280D">
            <w:pPr>
              <w:suppressLineNumbers/>
              <w:rPr>
                <w:rFonts w:ascii="David" w:hAnsi="David"/>
                <w:sz w:val="28"/>
                <w:szCs w:val="28"/>
                <w:rtl/>
              </w:rPr>
            </w:pPr>
            <w:sdt>
              <w:sdtPr>
                <w:rPr>
                  <w:rFonts w:ascii="David" w:hAnsi="David"/>
                  <w:sz w:val="28"/>
                  <w:szCs w:val="28"/>
                  <w:rtl/>
                </w:rPr>
                <w:alias w:val="1462"/>
                <w:tag w:val="1462"/>
                <w:id w:val="-2139489462"/>
                <w:text w:multiLine="1"/>
              </w:sdtPr>
              <w:sdtEndPr/>
              <w:sdtContent>
                <w:r w:rsidR="00AD1F82">
                  <w:rPr>
                    <w:rFonts w:ascii="David" w:hAnsi="David"/>
                    <w:sz w:val="28"/>
                    <w:szCs w:val="28"/>
                    <w:rtl/>
                  </w:rPr>
                  <w:t>1</w:t>
                </w:r>
              </w:sdtContent>
            </w:sdt>
            <w:r w:rsidR="00AD1F82">
              <w:rPr>
                <w:rFonts w:ascii="David" w:hAnsi="David"/>
                <w:sz w:val="28"/>
                <w:szCs w:val="28"/>
                <w:rtl/>
              </w:rPr>
              <w:t xml:space="preserve">. </w:t>
            </w:r>
            <w:sdt>
              <w:sdtPr>
                <w:rPr>
                  <w:rFonts w:ascii="David" w:hAnsi="David"/>
                  <w:sz w:val="28"/>
                  <w:szCs w:val="28"/>
                  <w:rtl/>
                </w:rPr>
                <w:alias w:val="3151"/>
                <w:tag w:val="3151"/>
                <w:id w:val="1166218717"/>
                <w:placeholder>
                  <w:docPart w:val="3975A9BBC6384C90892C699CF234BDAB"/>
                </w:placeholder>
                <w:text w:multiLine="1"/>
              </w:sdtPr>
              <w:sdtEndPr/>
              <w:sdtContent>
                <w:proofErr w:type="spellStart"/>
                <w:r w:rsidR="00AD1F82">
                  <w:rPr>
                    <w:rFonts w:ascii="David" w:hAnsi="David"/>
                    <w:sz w:val="28"/>
                    <w:szCs w:val="28"/>
                    <w:rtl/>
                  </w:rPr>
                  <w:t>סנא</w:t>
                </w:r>
                <w:proofErr w:type="spellEnd"/>
                <w:r w:rsidR="00AD1F82">
                  <w:rPr>
                    <w:rFonts w:ascii="David" w:hAnsi="David"/>
                    <w:sz w:val="28"/>
                    <w:szCs w:val="28"/>
                    <w:rtl/>
                  </w:rPr>
                  <w:t xml:space="preserve"> דקה</w:t>
                </w:r>
              </w:sdtContent>
            </w:sdt>
          </w:p>
          <w:p w:rsidR="00AD1F82" w:rsidRDefault="008D280D">
            <w:pPr>
              <w:suppressLineNumbers/>
              <w:rPr>
                <w:rFonts w:ascii="David" w:hAnsi="David"/>
                <w:sz w:val="28"/>
                <w:szCs w:val="28"/>
              </w:rPr>
            </w:pPr>
            <w:sdt>
              <w:sdtPr>
                <w:rPr>
                  <w:rFonts w:ascii="David" w:hAnsi="David"/>
                  <w:sz w:val="28"/>
                  <w:szCs w:val="28"/>
                  <w:rtl/>
                </w:rPr>
                <w:alias w:val="1462"/>
                <w:tag w:val="1462"/>
                <w:id w:val="1577864328"/>
                <w:text w:multiLine="1"/>
              </w:sdtPr>
              <w:sdtEndPr/>
              <w:sdtContent>
                <w:r w:rsidR="00AD1F82">
                  <w:rPr>
                    <w:rFonts w:ascii="David" w:hAnsi="David"/>
                    <w:sz w:val="28"/>
                    <w:szCs w:val="28"/>
                    <w:rtl/>
                  </w:rPr>
                  <w:t>2</w:t>
                </w:r>
              </w:sdtContent>
            </w:sdt>
            <w:r w:rsidR="00AD1F82">
              <w:rPr>
                <w:rFonts w:ascii="David" w:hAnsi="David"/>
                <w:sz w:val="28"/>
                <w:szCs w:val="28"/>
                <w:rtl/>
              </w:rPr>
              <w:t xml:space="preserve">. </w:t>
            </w:r>
            <w:sdt>
              <w:sdtPr>
                <w:rPr>
                  <w:rFonts w:ascii="David" w:hAnsi="David"/>
                  <w:sz w:val="28"/>
                  <w:szCs w:val="28"/>
                  <w:rtl/>
                </w:rPr>
                <w:alias w:val="3151"/>
                <w:tag w:val="3151"/>
                <w:id w:val="1129211951"/>
                <w:placeholder>
                  <w:docPart w:val="3975A9BBC6384C90892C699CF234BDAB"/>
                </w:placeholder>
                <w:text w:multiLine="1"/>
              </w:sdtPr>
              <w:sdtEndPr/>
              <w:sdtContent>
                <w:r w:rsidR="00AD1F82">
                  <w:rPr>
                    <w:rFonts w:ascii="David" w:hAnsi="David"/>
                    <w:sz w:val="28"/>
                    <w:szCs w:val="28"/>
                    <w:rtl/>
                  </w:rPr>
                  <w:t>אסעד דקה</w:t>
                </w:r>
              </w:sdtContent>
            </w:sdt>
          </w:p>
        </w:tc>
      </w:tr>
      <w:tr w:rsidR="00AD1F82" w:rsidTr="00AD1F82">
        <w:trPr>
          <w:gridAfter w:val="1"/>
          <w:wAfter w:w="7" w:type="dxa"/>
          <w:jc w:val="center"/>
        </w:trPr>
        <w:tc>
          <w:tcPr>
            <w:tcW w:w="8318" w:type="dxa"/>
            <w:gridSpan w:val="2"/>
          </w:tcPr>
          <w:p w:rsidR="00AD1F82" w:rsidRDefault="00AD1F82">
            <w:pPr>
              <w:suppressLineNumbers/>
              <w:rPr>
                <w:rFonts w:ascii="David" w:hAnsi="David"/>
                <w:sz w:val="28"/>
                <w:szCs w:val="28"/>
                <w:rtl/>
              </w:rPr>
            </w:pPr>
          </w:p>
          <w:p w:rsidR="00AD1F82" w:rsidRDefault="00AD1F82">
            <w:pPr>
              <w:suppressLineNumbers/>
              <w:ind w:left="2160"/>
              <w:rPr>
                <w:rFonts w:ascii="David" w:hAnsi="David"/>
                <w:spacing w:val="40"/>
                <w:sz w:val="28"/>
                <w:szCs w:val="28"/>
                <w:rtl/>
              </w:rPr>
            </w:pPr>
            <w:r>
              <w:rPr>
                <w:rFonts w:ascii="David" w:hAnsi="David"/>
                <w:spacing w:val="40"/>
                <w:sz w:val="28"/>
                <w:szCs w:val="28"/>
                <w:rtl/>
              </w:rPr>
              <w:t xml:space="preserve">       נגד</w:t>
            </w:r>
          </w:p>
          <w:p w:rsidR="00AD1F82" w:rsidRDefault="00AD1F82">
            <w:pPr>
              <w:suppressLineNumbers/>
              <w:rPr>
                <w:rFonts w:ascii="David" w:hAnsi="David"/>
                <w:sz w:val="28"/>
                <w:szCs w:val="28"/>
                <w:rtl/>
              </w:rPr>
            </w:pPr>
          </w:p>
        </w:tc>
      </w:tr>
      <w:tr w:rsidR="00AD1F82" w:rsidTr="00AD1F82">
        <w:trPr>
          <w:gridAfter w:val="1"/>
          <w:wAfter w:w="7" w:type="dxa"/>
          <w:jc w:val="center"/>
        </w:trPr>
        <w:tc>
          <w:tcPr>
            <w:tcW w:w="2797" w:type="dxa"/>
            <w:hideMark/>
          </w:tcPr>
          <w:p w:rsidR="00AD1F82" w:rsidRDefault="00AD1F82">
            <w:pPr>
              <w:suppressLineNumbers/>
              <w:rPr>
                <w:rFonts w:ascii="David" w:hAnsi="David"/>
                <w:sz w:val="28"/>
                <w:szCs w:val="28"/>
                <w:rtl/>
              </w:rPr>
            </w:pPr>
            <w:r>
              <w:rPr>
                <w:rFonts w:ascii="David" w:hAnsi="David"/>
                <w:sz w:val="28"/>
                <w:szCs w:val="28"/>
                <w:rtl/>
              </w:rPr>
              <w:t>ה</w:t>
            </w:r>
            <w:sdt>
              <w:sdtPr>
                <w:rPr>
                  <w:rFonts w:ascii="David" w:hAnsi="David"/>
                  <w:sz w:val="28"/>
                  <w:szCs w:val="28"/>
                  <w:rtl/>
                </w:rPr>
                <w:alias w:val="1184"/>
                <w:tag w:val="1184"/>
                <w:id w:val="-340621022"/>
                <w:text w:multiLine="1"/>
              </w:sdtPr>
              <w:sdtEndPr/>
              <w:sdtContent>
                <w:r>
                  <w:rPr>
                    <w:rFonts w:ascii="David" w:hAnsi="David"/>
                    <w:sz w:val="28"/>
                    <w:szCs w:val="28"/>
                    <w:rtl/>
                  </w:rPr>
                  <w:t>משיבים</w:t>
                </w:r>
              </w:sdtContent>
            </w:sdt>
            <w:r>
              <w:rPr>
                <w:rFonts w:ascii="David" w:hAnsi="David"/>
                <w:sz w:val="28"/>
                <w:szCs w:val="28"/>
                <w:rtl/>
              </w:rPr>
              <w:t>:</w:t>
            </w:r>
          </w:p>
        </w:tc>
        <w:tc>
          <w:tcPr>
            <w:tcW w:w="5521" w:type="dxa"/>
            <w:hideMark/>
          </w:tcPr>
          <w:p w:rsidR="00AD1F82" w:rsidRDefault="008D280D">
            <w:pPr>
              <w:suppressLineNumbers/>
              <w:rPr>
                <w:rFonts w:ascii="David" w:hAnsi="David"/>
                <w:sz w:val="28"/>
                <w:szCs w:val="28"/>
              </w:rPr>
            </w:pPr>
            <w:sdt>
              <w:sdtPr>
                <w:rPr>
                  <w:rFonts w:ascii="David" w:hAnsi="David"/>
                  <w:sz w:val="28"/>
                  <w:szCs w:val="28"/>
                  <w:rtl/>
                </w:rPr>
                <w:alias w:val="1571"/>
                <w:tag w:val="1571"/>
                <w:id w:val="1028836282"/>
                <w:text w:multiLine="1"/>
              </w:sdtPr>
              <w:sdtEndPr/>
              <w:sdtContent>
                <w:r w:rsidR="00AD1F82">
                  <w:rPr>
                    <w:rFonts w:ascii="David" w:hAnsi="David"/>
                    <w:sz w:val="28"/>
                    <w:szCs w:val="28"/>
                    <w:rtl/>
                  </w:rPr>
                  <w:t>1</w:t>
                </w:r>
              </w:sdtContent>
            </w:sdt>
            <w:r w:rsidR="00AD1F82">
              <w:rPr>
                <w:rFonts w:ascii="David" w:hAnsi="David"/>
                <w:sz w:val="28"/>
                <w:szCs w:val="28"/>
                <w:rtl/>
              </w:rPr>
              <w:t xml:space="preserve">. </w:t>
            </w:r>
            <w:sdt>
              <w:sdtPr>
                <w:rPr>
                  <w:rFonts w:ascii="David" w:hAnsi="David"/>
                  <w:sz w:val="28"/>
                  <w:szCs w:val="28"/>
                  <w:rtl/>
                </w:rPr>
                <w:alias w:val="3152"/>
                <w:tag w:val="3152"/>
                <w:id w:val="-1346628691"/>
                <w:placeholder>
                  <w:docPart w:val="B1F3A140A16D4E139C7AFCFC1F5645A4"/>
                </w:placeholder>
                <w:text w:multiLine="1"/>
              </w:sdtPr>
              <w:sdtEndPr/>
              <w:sdtContent>
                <w:r w:rsidR="00AD1F82">
                  <w:rPr>
                    <w:rFonts w:ascii="David" w:hAnsi="David"/>
                    <w:sz w:val="28"/>
                    <w:szCs w:val="28"/>
                    <w:rtl/>
                  </w:rPr>
                  <w:t>קובי יעקובי, ממלא מקום נציב שירות בתי הסוהר</w:t>
                </w:r>
              </w:sdtContent>
            </w:sdt>
          </w:p>
          <w:p w:rsidR="00AD1F82" w:rsidRDefault="008D280D">
            <w:pPr>
              <w:suppressLineNumbers/>
              <w:rPr>
                <w:rFonts w:ascii="David" w:hAnsi="David"/>
                <w:sz w:val="28"/>
                <w:szCs w:val="28"/>
                <w:rtl/>
              </w:rPr>
            </w:pPr>
            <w:sdt>
              <w:sdtPr>
                <w:rPr>
                  <w:rFonts w:ascii="David" w:hAnsi="David"/>
                  <w:sz w:val="28"/>
                  <w:szCs w:val="28"/>
                  <w:rtl/>
                </w:rPr>
                <w:alias w:val="1571"/>
                <w:tag w:val="1571"/>
                <w:id w:val="312227995"/>
                <w:text w:multiLine="1"/>
              </w:sdtPr>
              <w:sdtEndPr/>
              <w:sdtContent>
                <w:r w:rsidR="00AD1F82">
                  <w:rPr>
                    <w:rFonts w:ascii="David" w:hAnsi="David"/>
                    <w:sz w:val="28"/>
                    <w:szCs w:val="28"/>
                    <w:rtl/>
                  </w:rPr>
                  <w:t>2</w:t>
                </w:r>
              </w:sdtContent>
            </w:sdt>
            <w:r w:rsidR="00AD1F82">
              <w:rPr>
                <w:rFonts w:ascii="David" w:hAnsi="David"/>
                <w:sz w:val="28"/>
                <w:szCs w:val="28"/>
                <w:rtl/>
              </w:rPr>
              <w:t xml:space="preserve">. </w:t>
            </w:r>
            <w:sdt>
              <w:sdtPr>
                <w:rPr>
                  <w:rFonts w:ascii="David" w:hAnsi="David"/>
                  <w:sz w:val="28"/>
                  <w:szCs w:val="28"/>
                  <w:rtl/>
                </w:rPr>
                <w:alias w:val="3152"/>
                <w:tag w:val="3152"/>
                <w:id w:val="2004697511"/>
                <w:placeholder>
                  <w:docPart w:val="B1F3A140A16D4E139C7AFCFC1F5645A4"/>
                </w:placeholder>
                <w:text w:multiLine="1"/>
              </w:sdtPr>
              <w:sdtEndPr/>
              <w:sdtContent>
                <w:r w:rsidR="00AD1F82">
                  <w:rPr>
                    <w:rFonts w:ascii="David" w:hAnsi="David"/>
                    <w:sz w:val="28"/>
                    <w:szCs w:val="28"/>
                    <w:rtl/>
                  </w:rPr>
                  <w:t>ניצב דני לוי, מפקד מחוז חוף</w:t>
                </w:r>
              </w:sdtContent>
            </w:sdt>
          </w:p>
          <w:p w:rsidR="00AD1F82" w:rsidRDefault="008D280D">
            <w:pPr>
              <w:suppressLineNumbers/>
              <w:rPr>
                <w:rFonts w:ascii="David" w:hAnsi="David"/>
                <w:sz w:val="28"/>
                <w:szCs w:val="28"/>
                <w:rtl/>
              </w:rPr>
            </w:pPr>
            <w:sdt>
              <w:sdtPr>
                <w:rPr>
                  <w:rFonts w:ascii="David" w:hAnsi="David"/>
                  <w:sz w:val="28"/>
                  <w:szCs w:val="28"/>
                  <w:rtl/>
                </w:rPr>
                <w:alias w:val="1571"/>
                <w:tag w:val="1571"/>
                <w:id w:val="-117226283"/>
                <w:text w:multiLine="1"/>
              </w:sdtPr>
              <w:sdtEndPr/>
              <w:sdtContent>
                <w:r w:rsidR="00AD1F82">
                  <w:rPr>
                    <w:rFonts w:ascii="David" w:hAnsi="David"/>
                    <w:sz w:val="28"/>
                    <w:szCs w:val="28"/>
                    <w:rtl/>
                  </w:rPr>
                  <w:t>3</w:t>
                </w:r>
              </w:sdtContent>
            </w:sdt>
            <w:r w:rsidR="00AD1F82">
              <w:rPr>
                <w:rFonts w:ascii="David" w:hAnsi="David"/>
                <w:sz w:val="28"/>
                <w:szCs w:val="28"/>
                <w:rtl/>
              </w:rPr>
              <w:t xml:space="preserve">. </w:t>
            </w:r>
            <w:sdt>
              <w:sdtPr>
                <w:rPr>
                  <w:rFonts w:ascii="David" w:hAnsi="David"/>
                  <w:sz w:val="28"/>
                  <w:szCs w:val="28"/>
                  <w:rtl/>
                </w:rPr>
                <w:alias w:val="3152"/>
                <w:tag w:val="3152"/>
                <w:id w:val="-1427882555"/>
                <w:placeholder>
                  <w:docPart w:val="B1F3A140A16D4E139C7AFCFC1F5645A4"/>
                </w:placeholder>
                <w:text w:multiLine="1"/>
              </w:sdtPr>
              <w:sdtEndPr/>
              <w:sdtContent>
                <w:r w:rsidR="00AD1F82">
                  <w:rPr>
                    <w:rFonts w:ascii="David" w:hAnsi="David"/>
                    <w:sz w:val="28"/>
                    <w:szCs w:val="28"/>
                    <w:rtl/>
                  </w:rPr>
                  <w:t>יעקב שבתאי, מפכ"ל המשטרה</w:t>
                </w:r>
              </w:sdtContent>
            </w:sdt>
          </w:p>
          <w:p w:rsidR="00AD1F82" w:rsidRDefault="008D280D">
            <w:pPr>
              <w:suppressLineNumbers/>
              <w:rPr>
                <w:rFonts w:ascii="David" w:hAnsi="David"/>
                <w:sz w:val="28"/>
                <w:szCs w:val="28"/>
                <w:rtl/>
              </w:rPr>
            </w:pPr>
            <w:sdt>
              <w:sdtPr>
                <w:rPr>
                  <w:rFonts w:ascii="David" w:hAnsi="David"/>
                  <w:sz w:val="28"/>
                  <w:szCs w:val="28"/>
                  <w:rtl/>
                </w:rPr>
                <w:alias w:val="1571"/>
                <w:tag w:val="1571"/>
                <w:id w:val="-1775081364"/>
                <w:text w:multiLine="1"/>
              </w:sdtPr>
              <w:sdtEndPr/>
              <w:sdtContent>
                <w:r w:rsidR="00AD1F82">
                  <w:rPr>
                    <w:rFonts w:ascii="David" w:hAnsi="David"/>
                    <w:sz w:val="28"/>
                    <w:szCs w:val="28"/>
                    <w:rtl/>
                  </w:rPr>
                  <w:t>4</w:t>
                </w:r>
              </w:sdtContent>
            </w:sdt>
            <w:r w:rsidR="00AD1F82">
              <w:rPr>
                <w:rFonts w:ascii="David" w:hAnsi="David"/>
                <w:sz w:val="28"/>
                <w:szCs w:val="28"/>
                <w:rtl/>
              </w:rPr>
              <w:t xml:space="preserve">. </w:t>
            </w:r>
            <w:sdt>
              <w:sdtPr>
                <w:rPr>
                  <w:rFonts w:ascii="David" w:hAnsi="David"/>
                  <w:sz w:val="28"/>
                  <w:szCs w:val="28"/>
                  <w:rtl/>
                </w:rPr>
                <w:alias w:val="3152"/>
                <w:tag w:val="3152"/>
                <w:id w:val="716091771"/>
                <w:placeholder>
                  <w:docPart w:val="B1F3A140A16D4E139C7AFCFC1F5645A4"/>
                </w:placeholder>
                <w:text w:multiLine="1"/>
              </w:sdtPr>
              <w:sdtEndPr/>
              <w:sdtContent>
                <w:r w:rsidR="00AD1F82">
                  <w:rPr>
                    <w:rFonts w:ascii="David" w:hAnsi="David"/>
                    <w:sz w:val="28"/>
                    <w:szCs w:val="28"/>
                    <w:rtl/>
                  </w:rPr>
                  <w:t>היועצת המשפטית לממשלה</w:t>
                </w:r>
              </w:sdtContent>
            </w:sdt>
          </w:p>
          <w:p w:rsidR="00AD1F82" w:rsidRDefault="008D280D">
            <w:pPr>
              <w:suppressLineNumbers/>
              <w:rPr>
                <w:rFonts w:ascii="David" w:hAnsi="David"/>
                <w:sz w:val="28"/>
                <w:szCs w:val="28"/>
                <w:rtl/>
              </w:rPr>
            </w:pPr>
            <w:sdt>
              <w:sdtPr>
                <w:rPr>
                  <w:rFonts w:ascii="David" w:hAnsi="David"/>
                  <w:sz w:val="28"/>
                  <w:szCs w:val="28"/>
                  <w:rtl/>
                </w:rPr>
                <w:alias w:val="1571"/>
                <w:tag w:val="1571"/>
                <w:id w:val="-2073036452"/>
                <w:text w:multiLine="1"/>
              </w:sdtPr>
              <w:sdtEndPr/>
              <w:sdtContent>
                <w:r w:rsidR="00AD1F82">
                  <w:rPr>
                    <w:rFonts w:ascii="David" w:hAnsi="David"/>
                    <w:sz w:val="28"/>
                    <w:szCs w:val="28"/>
                    <w:rtl/>
                  </w:rPr>
                  <w:t>5</w:t>
                </w:r>
              </w:sdtContent>
            </w:sdt>
            <w:r w:rsidR="00AD1F82">
              <w:rPr>
                <w:rFonts w:ascii="David" w:hAnsi="David"/>
                <w:sz w:val="28"/>
                <w:szCs w:val="28"/>
                <w:rtl/>
              </w:rPr>
              <w:t xml:space="preserve">. </w:t>
            </w:r>
            <w:sdt>
              <w:sdtPr>
                <w:rPr>
                  <w:rFonts w:ascii="David" w:hAnsi="David"/>
                  <w:sz w:val="28"/>
                  <w:szCs w:val="28"/>
                  <w:rtl/>
                </w:rPr>
                <w:alias w:val="3152"/>
                <w:tag w:val="3152"/>
                <w:id w:val="-360203435"/>
                <w:placeholder>
                  <w:docPart w:val="B1F3A140A16D4E139C7AFCFC1F5645A4"/>
                </w:placeholder>
                <w:text w:multiLine="1"/>
              </w:sdtPr>
              <w:sdtEndPr/>
              <w:sdtContent>
                <w:r w:rsidR="00AD1F82">
                  <w:rPr>
                    <w:rFonts w:ascii="David" w:hAnsi="David"/>
                    <w:sz w:val="28"/>
                    <w:szCs w:val="28"/>
                    <w:rtl/>
                  </w:rPr>
                  <w:t xml:space="preserve">שר </w:t>
                </w:r>
                <w:proofErr w:type="spellStart"/>
                <w:r w:rsidR="00AD1F82">
                  <w:rPr>
                    <w:rFonts w:ascii="David" w:hAnsi="David"/>
                    <w:sz w:val="28"/>
                    <w:szCs w:val="28"/>
                    <w:rtl/>
                  </w:rPr>
                  <w:t>הבטחון</w:t>
                </w:r>
                <w:proofErr w:type="spellEnd"/>
              </w:sdtContent>
            </w:sdt>
          </w:p>
        </w:tc>
      </w:tr>
      <w:tr w:rsidR="00AD1F82" w:rsidTr="00AD1F82">
        <w:trPr>
          <w:gridAfter w:val="1"/>
          <w:wAfter w:w="7" w:type="dxa"/>
          <w:jc w:val="center"/>
        </w:trPr>
        <w:tc>
          <w:tcPr>
            <w:tcW w:w="2797" w:type="dxa"/>
          </w:tcPr>
          <w:p w:rsidR="00AD1F82" w:rsidRDefault="00AD1F82" w:rsidP="00C335A9">
            <w:pPr>
              <w:suppressLineNumbers/>
              <w:rPr>
                <w:rFonts w:ascii="David" w:hAnsi="David"/>
                <w:sz w:val="26"/>
                <w:szCs w:val="26"/>
                <w:rtl/>
              </w:rPr>
            </w:pPr>
          </w:p>
          <w:p w:rsidR="0089016B" w:rsidRDefault="0089016B" w:rsidP="00C335A9">
            <w:pPr>
              <w:suppressLineNumbers/>
              <w:rPr>
                <w:rFonts w:ascii="David" w:hAnsi="David"/>
                <w:sz w:val="26"/>
                <w:szCs w:val="26"/>
                <w:rtl/>
              </w:rPr>
            </w:pPr>
            <w:r>
              <w:rPr>
                <w:rFonts w:ascii="David" w:hAnsi="David" w:hint="cs"/>
                <w:sz w:val="26"/>
                <w:szCs w:val="26"/>
                <w:rtl/>
              </w:rPr>
              <w:t>תאריך ישיבות:</w:t>
            </w:r>
          </w:p>
          <w:p w:rsidR="00566637" w:rsidRDefault="00566637" w:rsidP="00C335A9">
            <w:pPr>
              <w:suppressLineNumbers/>
              <w:rPr>
                <w:rFonts w:ascii="David" w:hAnsi="David"/>
                <w:sz w:val="26"/>
                <w:szCs w:val="26"/>
                <w:rtl/>
              </w:rPr>
            </w:pPr>
          </w:p>
          <w:p w:rsidR="00566637" w:rsidRDefault="00566637" w:rsidP="00C335A9">
            <w:pPr>
              <w:suppressLineNumbers/>
              <w:rPr>
                <w:rFonts w:ascii="David" w:hAnsi="David"/>
                <w:sz w:val="26"/>
                <w:szCs w:val="26"/>
                <w:rtl/>
              </w:rPr>
            </w:pPr>
          </w:p>
          <w:p w:rsidR="00566637" w:rsidRDefault="00566637" w:rsidP="00C335A9">
            <w:pPr>
              <w:suppressLineNumbers/>
              <w:rPr>
                <w:rFonts w:ascii="David" w:hAnsi="David"/>
                <w:sz w:val="26"/>
                <w:szCs w:val="26"/>
                <w:rtl/>
              </w:rPr>
            </w:pPr>
          </w:p>
        </w:tc>
        <w:tc>
          <w:tcPr>
            <w:tcW w:w="5521" w:type="dxa"/>
            <w:vAlign w:val="center"/>
            <w:hideMark/>
          </w:tcPr>
          <w:p w:rsidR="0089016B" w:rsidRDefault="0089016B" w:rsidP="00C335A9">
            <w:pPr>
              <w:suppressLineNumbers/>
              <w:spacing w:before="240"/>
              <w:rPr>
                <w:rFonts w:ascii="David" w:hAnsi="David"/>
                <w:rtl/>
              </w:rPr>
            </w:pPr>
            <w:r>
              <w:rPr>
                <w:rFonts w:ascii="David" w:hAnsi="David" w:hint="cs"/>
                <w:rtl/>
              </w:rPr>
              <w:t>י"ז באב תשפ"ד (21.8.2024)</w:t>
            </w:r>
          </w:p>
          <w:p w:rsidR="0089016B" w:rsidRDefault="0089016B" w:rsidP="00C335A9">
            <w:pPr>
              <w:suppressLineNumbers/>
              <w:spacing w:after="240"/>
              <w:rPr>
                <w:rFonts w:ascii="David" w:hAnsi="David"/>
                <w:rtl/>
              </w:rPr>
            </w:pPr>
            <w:r>
              <w:rPr>
                <w:rFonts w:ascii="David" w:hAnsi="David" w:hint="cs"/>
                <w:rtl/>
              </w:rPr>
              <w:t>ז' בסיון תשפ"ד (13.6.2024)</w:t>
            </w:r>
          </w:p>
          <w:p w:rsidR="00C335A9" w:rsidRDefault="00AD1F82" w:rsidP="00C335A9">
            <w:pPr>
              <w:suppressLineNumbers/>
              <w:spacing w:before="240" w:after="240"/>
              <w:rPr>
                <w:rFonts w:ascii="David" w:hAnsi="David"/>
                <w:rtl/>
              </w:rPr>
            </w:pPr>
            <w:r>
              <w:rPr>
                <w:rFonts w:ascii="David" w:hAnsi="David" w:hint="cs"/>
                <w:rtl/>
              </w:rPr>
              <w:t xml:space="preserve">עתירה למתן צו על תנאי </w:t>
            </w:r>
          </w:p>
        </w:tc>
      </w:tr>
      <w:tr w:rsidR="00AD1F82" w:rsidTr="00AD1F82">
        <w:trPr>
          <w:gridAfter w:val="1"/>
          <w:wAfter w:w="7" w:type="dxa"/>
          <w:jc w:val="center"/>
        </w:trPr>
        <w:tc>
          <w:tcPr>
            <w:tcW w:w="2797" w:type="dxa"/>
          </w:tcPr>
          <w:p w:rsidR="00AD1F82" w:rsidRDefault="00AD1F82">
            <w:pPr>
              <w:suppressLineNumbers/>
              <w:rPr>
                <w:rFonts w:ascii="David" w:hAnsi="David"/>
                <w:sz w:val="28"/>
                <w:szCs w:val="28"/>
                <w:rtl/>
              </w:rPr>
            </w:pPr>
            <w:r>
              <w:rPr>
                <w:rFonts w:ascii="David" w:hAnsi="David"/>
                <w:sz w:val="28"/>
                <w:szCs w:val="28"/>
                <w:rtl/>
              </w:rPr>
              <w:t>בשם ה</w:t>
            </w:r>
            <w:sdt>
              <w:sdtPr>
                <w:rPr>
                  <w:rFonts w:ascii="David" w:hAnsi="David"/>
                  <w:sz w:val="28"/>
                  <w:szCs w:val="28"/>
                  <w:rtl/>
                </w:rPr>
                <w:alias w:val="1180"/>
                <w:tag w:val="1180"/>
                <w:id w:val="-1466418538"/>
                <w:text w:multiLine="1"/>
              </w:sdtPr>
              <w:sdtEndPr/>
              <w:sdtContent>
                <w:r>
                  <w:rPr>
                    <w:rFonts w:ascii="David" w:hAnsi="David"/>
                    <w:sz w:val="28"/>
                    <w:szCs w:val="28"/>
                    <w:rtl/>
                  </w:rPr>
                  <w:t>עותרים</w:t>
                </w:r>
              </w:sdtContent>
            </w:sdt>
            <w:r>
              <w:rPr>
                <w:rFonts w:ascii="David" w:hAnsi="David"/>
                <w:sz w:val="28"/>
                <w:szCs w:val="28"/>
                <w:rtl/>
              </w:rPr>
              <w:t>:</w:t>
            </w:r>
          </w:p>
          <w:p w:rsidR="00AD1F82" w:rsidRDefault="00AD1F82">
            <w:pPr>
              <w:suppressLineNumbers/>
              <w:rPr>
                <w:rFonts w:ascii="David" w:hAnsi="David"/>
                <w:sz w:val="28"/>
                <w:szCs w:val="28"/>
              </w:rPr>
            </w:pPr>
          </w:p>
        </w:tc>
        <w:tc>
          <w:tcPr>
            <w:tcW w:w="5521" w:type="dxa"/>
            <w:hideMark/>
          </w:tcPr>
          <w:p w:rsidR="00AD1F82" w:rsidRDefault="00AD1F82">
            <w:pPr>
              <w:suppressLineNumbers/>
              <w:rPr>
                <w:rFonts w:ascii="David" w:hAnsi="David"/>
                <w:sz w:val="28"/>
                <w:szCs w:val="28"/>
                <w:rtl/>
              </w:rPr>
            </w:pPr>
            <w:r>
              <w:rPr>
                <w:rFonts w:ascii="David" w:hAnsi="David"/>
                <w:sz w:val="28"/>
                <w:szCs w:val="28"/>
                <w:rtl/>
              </w:rPr>
              <w:t xml:space="preserve">עו"ד </w:t>
            </w:r>
            <w:sdt>
              <w:sdtPr>
                <w:rPr>
                  <w:rFonts w:ascii="David" w:hAnsi="David"/>
                  <w:sz w:val="28"/>
                  <w:szCs w:val="28"/>
                  <w:rtl/>
                </w:rPr>
                <w:alias w:val="2842"/>
                <w:tag w:val="2842"/>
                <w:id w:val="-1543355067"/>
                <w:placeholder>
                  <w:docPart w:val="0AA37E1975D7475D9D35A98F4FF248FD"/>
                </w:placeholder>
                <w:text w:multiLine="1"/>
              </w:sdtPr>
              <w:sdtEndPr/>
              <w:sdtContent>
                <w:proofErr w:type="spellStart"/>
                <w:r>
                  <w:rPr>
                    <w:rFonts w:ascii="David" w:hAnsi="David"/>
                    <w:sz w:val="28"/>
                    <w:szCs w:val="28"/>
                    <w:rtl/>
                  </w:rPr>
                  <w:t>סוהאד</w:t>
                </w:r>
                <w:proofErr w:type="spellEnd"/>
              </w:sdtContent>
            </w:sdt>
            <w:r>
              <w:rPr>
                <w:rFonts w:ascii="David" w:hAnsi="David"/>
                <w:sz w:val="28"/>
                <w:szCs w:val="28"/>
                <w:rtl/>
              </w:rPr>
              <w:t xml:space="preserve"> </w:t>
            </w:r>
            <w:sdt>
              <w:sdtPr>
                <w:rPr>
                  <w:rFonts w:ascii="David" w:hAnsi="David"/>
                  <w:sz w:val="28"/>
                  <w:szCs w:val="28"/>
                  <w:rtl/>
                </w:rPr>
                <w:alias w:val="2843"/>
                <w:tag w:val="2843"/>
                <w:id w:val="2088950005"/>
                <w:placeholder>
                  <w:docPart w:val="DDB2F2EA02934A36BEB3F6F225D1A82A"/>
                </w:placeholder>
                <w:text w:multiLine="1"/>
              </w:sdtPr>
              <w:sdtEndPr/>
              <w:sdtContent>
                <w:r>
                  <w:rPr>
                    <w:rFonts w:ascii="David" w:hAnsi="David"/>
                    <w:sz w:val="28"/>
                    <w:szCs w:val="28"/>
                    <w:rtl/>
                  </w:rPr>
                  <w:t>בשארה</w:t>
                </w:r>
              </w:sdtContent>
            </w:sdt>
            <w:r>
              <w:rPr>
                <w:rFonts w:ascii="David" w:hAnsi="David"/>
                <w:sz w:val="28"/>
                <w:szCs w:val="28"/>
                <w:rtl/>
              </w:rPr>
              <w:t xml:space="preserve"> </w:t>
            </w:r>
          </w:p>
        </w:tc>
      </w:tr>
      <w:tr w:rsidR="00AD1F82" w:rsidTr="00AD1F82">
        <w:trPr>
          <w:gridAfter w:val="1"/>
          <w:wAfter w:w="7" w:type="dxa"/>
          <w:jc w:val="center"/>
        </w:trPr>
        <w:tc>
          <w:tcPr>
            <w:tcW w:w="2797" w:type="dxa"/>
            <w:hideMark/>
          </w:tcPr>
          <w:p w:rsidR="00AD1F82" w:rsidRDefault="00AD1F82">
            <w:pPr>
              <w:suppressLineNumbers/>
              <w:rPr>
                <w:rFonts w:ascii="David" w:hAnsi="David"/>
                <w:sz w:val="28"/>
                <w:szCs w:val="28"/>
                <w:rtl/>
              </w:rPr>
            </w:pPr>
            <w:r>
              <w:rPr>
                <w:rFonts w:ascii="David" w:hAnsi="David"/>
                <w:sz w:val="28"/>
                <w:szCs w:val="28"/>
                <w:rtl/>
              </w:rPr>
              <w:t>בשם ה</w:t>
            </w:r>
            <w:sdt>
              <w:sdtPr>
                <w:rPr>
                  <w:rFonts w:ascii="David" w:hAnsi="David"/>
                  <w:sz w:val="28"/>
                  <w:szCs w:val="28"/>
                  <w:rtl/>
                </w:rPr>
                <w:alias w:val="1184"/>
                <w:tag w:val="1184"/>
                <w:id w:val="1579784566"/>
                <w:text w:multiLine="1"/>
              </w:sdtPr>
              <w:sdtEndPr/>
              <w:sdtContent>
                <w:r>
                  <w:rPr>
                    <w:rFonts w:ascii="David" w:hAnsi="David"/>
                    <w:sz w:val="28"/>
                    <w:szCs w:val="28"/>
                    <w:rtl/>
                  </w:rPr>
                  <w:t>משיבים</w:t>
                </w:r>
              </w:sdtContent>
            </w:sdt>
            <w:r>
              <w:rPr>
                <w:rFonts w:ascii="David" w:hAnsi="David"/>
                <w:sz w:val="28"/>
                <w:szCs w:val="28"/>
                <w:rtl/>
              </w:rPr>
              <w:t>:</w:t>
            </w:r>
          </w:p>
        </w:tc>
        <w:tc>
          <w:tcPr>
            <w:tcW w:w="5521" w:type="dxa"/>
            <w:hideMark/>
          </w:tcPr>
          <w:p w:rsidR="00AD1F82" w:rsidRDefault="00AD1F82">
            <w:pPr>
              <w:suppressLineNumbers/>
              <w:rPr>
                <w:rFonts w:ascii="David" w:hAnsi="David"/>
                <w:sz w:val="28"/>
                <w:szCs w:val="28"/>
              </w:rPr>
            </w:pPr>
            <w:r>
              <w:rPr>
                <w:rFonts w:ascii="David" w:hAnsi="David"/>
                <w:sz w:val="28"/>
                <w:szCs w:val="28"/>
                <w:rtl/>
              </w:rPr>
              <w:t xml:space="preserve">עו"ד </w:t>
            </w:r>
            <w:sdt>
              <w:sdtPr>
                <w:rPr>
                  <w:rFonts w:ascii="David" w:hAnsi="David"/>
                  <w:sz w:val="28"/>
                  <w:szCs w:val="28"/>
                  <w:rtl/>
                </w:rPr>
                <w:alias w:val="2844"/>
                <w:tag w:val="2844"/>
                <w:id w:val="-440297106"/>
                <w:placeholder>
                  <w:docPart w:val="AEE59DEAF63F44878BD40144596FECA7"/>
                </w:placeholder>
                <w:text w:multiLine="1"/>
              </w:sdtPr>
              <w:sdtEndPr/>
              <w:sdtContent>
                <w:r>
                  <w:rPr>
                    <w:rFonts w:ascii="David" w:hAnsi="David"/>
                    <w:sz w:val="28"/>
                    <w:szCs w:val="28"/>
                    <w:rtl/>
                  </w:rPr>
                  <w:t>אבי</w:t>
                </w:r>
              </w:sdtContent>
            </w:sdt>
            <w:r>
              <w:rPr>
                <w:rFonts w:ascii="David" w:hAnsi="David"/>
                <w:sz w:val="28"/>
                <w:szCs w:val="28"/>
                <w:rtl/>
              </w:rPr>
              <w:t xml:space="preserve"> </w:t>
            </w:r>
            <w:sdt>
              <w:sdtPr>
                <w:rPr>
                  <w:rFonts w:ascii="David" w:hAnsi="David"/>
                  <w:sz w:val="28"/>
                  <w:szCs w:val="28"/>
                  <w:rtl/>
                </w:rPr>
                <w:alias w:val="2845"/>
                <w:tag w:val="2845"/>
                <w:id w:val="-223909034"/>
                <w:placeholder>
                  <w:docPart w:val="06FFA198B1D745AEA3696909AFFAEA6D"/>
                </w:placeholder>
                <w:text w:multiLine="1"/>
              </w:sdtPr>
              <w:sdtEndPr/>
              <w:sdtContent>
                <w:proofErr w:type="spellStart"/>
                <w:r>
                  <w:rPr>
                    <w:rFonts w:ascii="David" w:hAnsi="David"/>
                    <w:sz w:val="28"/>
                    <w:szCs w:val="28"/>
                    <w:rtl/>
                  </w:rPr>
                  <w:t>מיליקובסקי</w:t>
                </w:r>
                <w:proofErr w:type="spellEnd"/>
              </w:sdtContent>
            </w:sdt>
            <w:r>
              <w:rPr>
                <w:rFonts w:ascii="David" w:hAnsi="David"/>
                <w:sz w:val="28"/>
                <w:szCs w:val="28"/>
                <w:rtl/>
              </w:rPr>
              <w:t xml:space="preserve"> </w:t>
            </w:r>
          </w:p>
        </w:tc>
      </w:tr>
    </w:tbl>
    <w:p w:rsidR="0094424E" w:rsidRDefault="0094424E" w:rsidP="00D44968">
      <w:pPr>
        <w:suppressLineNumbers/>
        <w:rPr>
          <w:rFonts w:ascii="David" w:hAnsi="David"/>
          <w:rtl/>
        </w:rPr>
      </w:pPr>
    </w:p>
    <w:p w:rsidR="00AD1F82" w:rsidRPr="00105E0F" w:rsidRDefault="00AD1F82" w:rsidP="00D44968">
      <w:pPr>
        <w:suppressLineNumbers/>
        <w:rPr>
          <w:rFonts w:ascii="David" w:hAnsi="David"/>
          <w:rtl/>
        </w:rPr>
      </w:pPr>
    </w:p>
    <w:tbl>
      <w:tblPr>
        <w:tblStyle w:val="ad"/>
        <w:bidiVisual/>
        <w:tblW w:w="836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69"/>
      </w:tblGrid>
      <w:tr w:rsidR="00694556" w:rsidRPr="00105E0F" w:rsidTr="00BC5A54">
        <w:trPr>
          <w:jc w:val="center"/>
        </w:trPr>
        <w:tc>
          <w:tcPr>
            <w:tcW w:w="8369" w:type="dxa"/>
          </w:tcPr>
          <w:p w:rsidR="00D44968" w:rsidRPr="00991FC5" w:rsidRDefault="00BC5A54" w:rsidP="00991FC5">
            <w:pPr>
              <w:bidi w:val="0"/>
              <w:jc w:val="center"/>
              <w:rPr>
                <w:rFonts w:ascii="David" w:hAnsi="David"/>
                <w:b/>
                <w:bCs/>
                <w:spacing w:val="30"/>
                <w:sz w:val="28"/>
                <w:szCs w:val="28"/>
                <w:u w:val="single"/>
              </w:rPr>
            </w:pPr>
            <w:r>
              <w:rPr>
                <w:rFonts w:ascii="David" w:hAnsi="David" w:hint="cs"/>
                <w:b/>
                <w:bCs/>
                <w:spacing w:val="30"/>
                <w:sz w:val="28"/>
                <w:szCs w:val="28"/>
                <w:u w:val="single"/>
                <w:rtl/>
              </w:rPr>
              <w:t>פסק-</w:t>
            </w:r>
            <w:r w:rsidR="006D2099">
              <w:rPr>
                <w:rFonts w:ascii="David" w:hAnsi="David" w:hint="cs"/>
                <w:b/>
                <w:bCs/>
                <w:spacing w:val="30"/>
                <w:sz w:val="28"/>
                <w:szCs w:val="28"/>
                <w:u w:val="single"/>
                <w:rtl/>
              </w:rPr>
              <w:t>דין</w:t>
            </w:r>
          </w:p>
        </w:tc>
      </w:tr>
    </w:tbl>
    <w:p w:rsidR="00694556" w:rsidRPr="009E210F" w:rsidRDefault="00694556" w:rsidP="009E210F">
      <w:pPr>
        <w:pStyle w:val="Ruller40"/>
        <w:rPr>
          <w:rFonts w:ascii="Century" w:hAnsi="Century"/>
          <w:rtl/>
        </w:rPr>
      </w:pPr>
      <w:bookmarkStart w:id="1" w:name="NGCSBookmark"/>
      <w:bookmarkEnd w:id="1"/>
    </w:p>
    <w:p w:rsidR="00694556" w:rsidRDefault="00991FC5">
      <w:pPr>
        <w:spacing w:line="360" w:lineRule="auto"/>
        <w:jc w:val="both"/>
        <w:rPr>
          <w:rFonts w:ascii="Century" w:hAnsi="Century" w:cs="Miriam"/>
          <w:b/>
          <w:sz w:val="22"/>
          <w:u w:val="single"/>
          <w:rtl/>
        </w:rPr>
      </w:pPr>
      <w:r w:rsidRPr="00991FC5">
        <w:rPr>
          <w:rFonts w:ascii="Century" w:hAnsi="Century" w:cs="Miriam" w:hint="cs"/>
          <w:b/>
          <w:sz w:val="22"/>
          <w:u w:val="single"/>
          <w:rtl/>
        </w:rPr>
        <w:t>ה</w:t>
      </w:r>
      <w:sdt>
        <w:sdtPr>
          <w:rPr>
            <w:rFonts w:ascii="Century" w:hAnsi="Century" w:cs="Miriam" w:hint="cs"/>
            <w:b/>
            <w:sz w:val="22"/>
            <w:u w:val="single"/>
            <w:rtl/>
          </w:rPr>
          <w:alias w:val="1574"/>
          <w:tag w:val="1574"/>
          <w:id w:val="1174836768"/>
          <w:placeholder>
            <w:docPart w:val="254DD7E843014C7D817D6B2B08E9B38B"/>
          </w:placeholder>
          <w:text w:multiLine="1"/>
        </w:sdtPr>
        <w:sdtEndPr/>
        <w:sdtContent>
          <w:r>
            <w:rPr>
              <w:rFonts w:ascii="Century" w:hAnsi="Century" w:cs="Miriam" w:hint="eastAsia"/>
              <w:b/>
              <w:sz w:val="22"/>
              <w:u w:val="single"/>
              <w:rtl/>
            </w:rPr>
            <w:t>שופט</w:t>
          </w:r>
        </w:sdtContent>
      </w:sdt>
      <w:r w:rsidRPr="00991FC5">
        <w:rPr>
          <w:rFonts w:ascii="Century" w:hAnsi="Century" w:cs="Miriam"/>
          <w:b/>
          <w:sz w:val="22"/>
          <w:u w:val="single"/>
          <w:rtl/>
        </w:rPr>
        <w:t xml:space="preserve"> </w:t>
      </w:r>
      <w:sdt>
        <w:sdtPr>
          <w:rPr>
            <w:rFonts w:ascii="Century" w:hAnsi="Century" w:cs="Miriam"/>
            <w:b/>
            <w:sz w:val="22"/>
            <w:u w:val="single"/>
            <w:rtl/>
          </w:rPr>
          <w:alias w:val="1573"/>
          <w:tag w:val="1573"/>
          <w:id w:val="-1143186751"/>
          <w:placeholder>
            <w:docPart w:val="25B9EEA87DDA4445ABEC0596927959F3"/>
          </w:placeholder>
          <w:text w:multiLine="1"/>
        </w:sdtPr>
        <w:sdtEndPr/>
        <w:sdtContent>
          <w:r>
            <w:rPr>
              <w:rFonts w:ascii="Century" w:hAnsi="Century" w:cs="Miriam"/>
              <w:b/>
              <w:sz w:val="22"/>
              <w:u w:val="single"/>
              <w:rtl/>
            </w:rPr>
            <w:t>יצחק עמית</w:t>
          </w:r>
        </w:sdtContent>
      </w:sdt>
      <w:r w:rsidRPr="00991FC5">
        <w:rPr>
          <w:rFonts w:ascii="Century" w:hAnsi="Century" w:cs="Miriam" w:hint="cs"/>
          <w:b/>
          <w:sz w:val="22"/>
          <w:u w:val="single"/>
          <w:rtl/>
        </w:rPr>
        <w:t>:</w:t>
      </w:r>
    </w:p>
    <w:p w:rsidR="00793235" w:rsidRPr="009E210F" w:rsidRDefault="00793235" w:rsidP="009E210F">
      <w:pPr>
        <w:pStyle w:val="Ruller40"/>
        <w:rPr>
          <w:rFonts w:ascii="Century" w:hAnsi="Century"/>
          <w:rtl/>
        </w:rPr>
      </w:pPr>
    </w:p>
    <w:p w:rsidR="00EB2082" w:rsidRDefault="00EB2082" w:rsidP="00EB2082">
      <w:pPr>
        <w:pStyle w:val="Ruller40"/>
      </w:pPr>
      <w:r>
        <w:rPr>
          <w:rtl/>
        </w:rPr>
        <w:tab/>
        <w:t xml:space="preserve">בעתירה שלפנינו מבקשים העותרים כי תימסר להם גופתו של המחבל וליד דקה (להלן: </w:t>
      </w:r>
      <w:r>
        <w:rPr>
          <w:rFonts w:ascii="Century" w:hAnsi="Century" w:cs="Miriam"/>
          <w:b/>
          <w:spacing w:val="0"/>
          <w:szCs w:val="24"/>
          <w:rtl/>
        </w:rPr>
        <w:t>דקה</w:t>
      </w:r>
      <w:r>
        <w:rPr>
          <w:rtl/>
        </w:rPr>
        <w:t xml:space="preserve">), שהלך לעולמו ביום 7.4.2024 ממחלת הסרטן בעת היותו במשמורת שב"ס. דקה, אזרח ישראלי, הורשע בחודש מרץ 1987 כמי שהיה אחראי על חוליית החזית העממית לשחרור פלסטין שחטפה ורצחה את החייל משה </w:t>
      </w:r>
      <w:proofErr w:type="spellStart"/>
      <w:r>
        <w:rPr>
          <w:rtl/>
        </w:rPr>
        <w:t>תמם</w:t>
      </w:r>
      <w:proofErr w:type="spellEnd"/>
      <w:r>
        <w:rPr>
          <w:rtl/>
        </w:rPr>
        <w:t xml:space="preserve"> ז"ל בשנת 1984, וכמי שהורה לרצוח אותו לאחר שהורה על חטיפתו. העותרים הם בת זוגו של דקה ואחיו. </w:t>
      </w:r>
    </w:p>
    <w:p w:rsidR="00EB2082" w:rsidRDefault="00EB2082" w:rsidP="00EB2082">
      <w:pPr>
        <w:pStyle w:val="Ruller40"/>
        <w:rPr>
          <w:rFonts w:ascii="Century" w:hAnsi="Century" w:cs="Miriam"/>
          <w:b/>
          <w:spacing w:val="0"/>
          <w:szCs w:val="24"/>
          <w:rtl/>
        </w:rPr>
      </w:pPr>
    </w:p>
    <w:p w:rsidR="00EB2082" w:rsidRDefault="00EB2082" w:rsidP="00EB2082">
      <w:pPr>
        <w:pStyle w:val="Ruller40"/>
        <w:keepNext/>
        <w:rPr>
          <w:rFonts w:ascii="Century" w:hAnsi="Century" w:cs="Miriam"/>
          <w:b/>
          <w:spacing w:val="0"/>
          <w:szCs w:val="24"/>
          <w:rtl/>
        </w:rPr>
      </w:pPr>
      <w:r>
        <w:rPr>
          <w:rFonts w:ascii="Century" w:hAnsi="Century" w:cs="Miriam"/>
          <w:b/>
          <w:spacing w:val="0"/>
          <w:szCs w:val="24"/>
          <w:rtl/>
        </w:rPr>
        <w:t xml:space="preserve">רקע נורמטיבי </w:t>
      </w:r>
    </w:p>
    <w:p w:rsidR="00EB2082" w:rsidRDefault="00EB2082" w:rsidP="00EB2082">
      <w:pPr>
        <w:pStyle w:val="Ruller40"/>
        <w:keepNext/>
        <w:rPr>
          <w:rtl/>
        </w:rPr>
      </w:pPr>
    </w:p>
    <w:p w:rsidR="00EB2082" w:rsidRDefault="00EB2082" w:rsidP="00EB2082">
      <w:pPr>
        <w:pStyle w:val="Ruller40"/>
        <w:rPr>
          <w:rtl/>
        </w:rPr>
      </w:pPr>
      <w:r>
        <w:rPr>
          <w:rtl/>
        </w:rPr>
        <w:t>1.</w:t>
      </w:r>
      <w:r>
        <w:rPr>
          <w:rtl/>
        </w:rPr>
        <w:tab/>
        <w:t xml:space="preserve">לאורך שנות הלחימה בטרור, נהגה פרקטיקה של החזקת גופות חללי ומחבלי אויב שנהרגו במהלך פעילותם. המדינה </w:t>
      </w:r>
      <w:r>
        <w:rPr>
          <w:rFonts w:ascii="Century" w:hAnsi="Century"/>
          <w:rtl/>
        </w:rPr>
        <w:t xml:space="preserve">ביצעה בעבר עסקאות עם ארגוני טרור לחילופי שבויים ונעדרים, שכללו השבה של גופות של מחבלים המשתייכים לאותם ארגונים. </w:t>
      </w:r>
      <w:r>
        <w:rPr>
          <w:rtl/>
        </w:rPr>
        <w:lastRenderedPageBreak/>
        <w:t xml:space="preserve">החזקת גופת מחבל כ"קלף מיקוח" הוכרה בפסיקה עוד בשנות התשעים, כאשר נקבע כי </w:t>
      </w:r>
      <w:r>
        <w:rPr>
          <w:rFonts w:ascii="Century" w:hAnsi="Century"/>
          <w:sz w:val="28"/>
          <w:rtl/>
        </w:rPr>
        <w:t xml:space="preserve">המפקד הצבאי רשאי היה להתנות את השבת גופתו של מחבל חמאס תושב רצועת עזה בגילוי מקום קבורת החייל אילן סעדון ז"ל שנרצח בידי מחבלי הארגון </w:t>
      </w:r>
      <w:r>
        <w:rPr>
          <w:rFonts w:ascii="Century" w:hAnsi="Century"/>
          <w:rtl/>
        </w:rPr>
        <w:t>(בג"ץ 6807/94</w:t>
      </w:r>
      <w:r>
        <w:rPr>
          <w:rFonts w:ascii="Century" w:hAnsi="Century"/>
          <w:sz w:val="28"/>
          <w:rtl/>
        </w:rPr>
        <w:t xml:space="preserve"> </w:t>
      </w:r>
      <w:r>
        <w:rPr>
          <w:rFonts w:ascii="Century" w:hAnsi="Century" w:cs="Miriam"/>
          <w:b/>
          <w:spacing w:val="0"/>
          <w:szCs w:val="24"/>
          <w:rtl/>
        </w:rPr>
        <w:t>עבאס נ' מדינת ישראל</w:t>
      </w:r>
      <w:r>
        <w:rPr>
          <w:rFonts w:ascii="Century" w:hAnsi="Century"/>
          <w:sz w:val="28"/>
          <w:rtl/>
        </w:rPr>
        <w:t xml:space="preserve"> (2.2.1995)). </w:t>
      </w:r>
    </w:p>
    <w:p w:rsidR="00EB2082" w:rsidRDefault="00EB2082" w:rsidP="00EB2082">
      <w:pPr>
        <w:pStyle w:val="Ruller40"/>
        <w:rPr>
          <w:rtl/>
        </w:rPr>
      </w:pPr>
    </w:p>
    <w:p w:rsidR="00EB2082" w:rsidRDefault="00EB2082" w:rsidP="00EB2082">
      <w:pPr>
        <w:pStyle w:val="Ruller40"/>
        <w:rPr>
          <w:rtl/>
        </w:rPr>
      </w:pPr>
      <w:r>
        <w:rPr>
          <w:rtl/>
        </w:rPr>
        <w:t>2.</w:t>
      </w:r>
      <w:r>
        <w:rPr>
          <w:rtl/>
        </w:rPr>
        <w:tab/>
        <w:t xml:space="preserve">הרגישות של החברה הישראלית להבאתם לקבורה של חלליה, נוצלה מאז ומתמיד על ידי ארגוני הטרור, שראו בגופות ובחלקי גופות של חיילי צה"ל, קלף מיקוח במשא ומתן. </w:t>
      </w:r>
    </w:p>
    <w:p w:rsidR="00EB2082" w:rsidRDefault="00EB2082" w:rsidP="00EB2082">
      <w:pPr>
        <w:pStyle w:val="Ruller40"/>
        <w:rPr>
          <w:rtl/>
        </w:rPr>
      </w:pPr>
    </w:p>
    <w:p w:rsidR="00EB2082" w:rsidRDefault="00EB2082" w:rsidP="00EB2082">
      <w:pPr>
        <w:pStyle w:val="Ruller40"/>
        <w:rPr>
          <w:rtl/>
        </w:rPr>
      </w:pPr>
      <w:r>
        <w:rPr>
          <w:rtl/>
        </w:rPr>
        <w:tab/>
        <w:t xml:space="preserve">החזקת גופותיהם של לוחמי צה"ל סגן הדר </w:t>
      </w:r>
      <w:proofErr w:type="spellStart"/>
      <w:r>
        <w:rPr>
          <w:rtl/>
        </w:rPr>
        <w:t>גולדין</w:t>
      </w:r>
      <w:proofErr w:type="spellEnd"/>
      <w:r>
        <w:rPr>
          <w:rtl/>
        </w:rPr>
        <w:t xml:space="preserve"> ז"ל וסמ"ר אורון שאול ז"ל על ידי ארגון החמאס בעקבות מבצע "צוק איתן" בקיץ 2014, והתגברות גל פיגועי הטרור מתחילת שנת 2015, </w:t>
      </w:r>
      <w:r>
        <w:rPr>
          <w:rFonts w:ascii="Century" w:hAnsi="Century"/>
          <w:rtl/>
        </w:rPr>
        <w:t xml:space="preserve">שזכה לכינוי "אינתיפאדת היחידים", </w:t>
      </w:r>
      <w:r>
        <w:rPr>
          <w:rtl/>
        </w:rPr>
        <w:t xml:space="preserve">הביאו את גורמי הביטחון ואת הדרג המדיני לשקול ולבחון מדיניות חדשה הנוגעת להחזקת גופות מחבלים לצורכי משא ומתן. ביום 1.1.2017 התקבלה החלטת הקבינט המדיני-ביטחוני (להלן: </w:t>
      </w:r>
      <w:r>
        <w:rPr>
          <w:rFonts w:ascii="Century" w:hAnsi="Century" w:cs="Miriam"/>
          <w:b/>
          <w:spacing w:val="0"/>
          <w:szCs w:val="24"/>
          <w:rtl/>
        </w:rPr>
        <w:t>הקבינט</w:t>
      </w:r>
      <w:r>
        <w:rPr>
          <w:rtl/>
        </w:rPr>
        <w:t xml:space="preserve">) בדבר "מדיניות אחידה בטיפול בגופות מחבלים" (החלטה ב/171, להלן: </w:t>
      </w:r>
      <w:r>
        <w:rPr>
          <w:rFonts w:ascii="Century" w:hAnsi="Century" w:cs="Miriam"/>
          <w:b/>
          <w:spacing w:val="0"/>
          <w:szCs w:val="24"/>
          <w:rtl/>
        </w:rPr>
        <w:t>החלטת הקבינט</w:t>
      </w:r>
      <w:r>
        <w:rPr>
          <w:rtl/>
        </w:rPr>
        <w:t xml:space="preserve"> </w:t>
      </w:r>
      <w:r>
        <w:rPr>
          <w:rFonts w:ascii="Century" w:hAnsi="Century" w:cs="Miriam"/>
          <w:b/>
          <w:spacing w:val="0"/>
          <w:szCs w:val="24"/>
          <w:rtl/>
        </w:rPr>
        <w:t>הראשונה</w:t>
      </w:r>
      <w:r>
        <w:rPr>
          <w:rtl/>
        </w:rPr>
        <w:t>), שקבעה בחלקה הגלוי כדלקמן:</w:t>
      </w:r>
    </w:p>
    <w:p w:rsidR="00EB2082" w:rsidRDefault="00EB2082" w:rsidP="00EB2082">
      <w:pPr>
        <w:pStyle w:val="Ruller40"/>
        <w:rPr>
          <w:rtl/>
        </w:rPr>
      </w:pPr>
    </w:p>
    <w:p w:rsidR="00EB2082" w:rsidRDefault="00EB2082" w:rsidP="00EB2082">
      <w:pPr>
        <w:pStyle w:val="Ruller50"/>
        <w:numPr>
          <w:ilvl w:val="0"/>
          <w:numId w:val="11"/>
        </w:numPr>
      </w:pPr>
      <w:r>
        <w:rPr>
          <w:rtl/>
        </w:rPr>
        <w:t xml:space="preserve">גופות מחבלים תוחזרנה בתנאים מגבילים הנקבעים על ידי גורמי הביטחון. </w:t>
      </w:r>
    </w:p>
    <w:p w:rsidR="00EB2082" w:rsidRDefault="00EB2082" w:rsidP="00EB2082">
      <w:pPr>
        <w:pStyle w:val="Ruller50"/>
        <w:numPr>
          <w:ilvl w:val="0"/>
          <w:numId w:val="11"/>
        </w:numPr>
      </w:pPr>
      <w:r>
        <w:rPr>
          <w:rtl/>
        </w:rPr>
        <w:t xml:space="preserve">גופות מחבלים בשיוך חמאס יוחזקו בידי ישראל. </w:t>
      </w:r>
    </w:p>
    <w:p w:rsidR="00EB2082" w:rsidRDefault="00EB2082" w:rsidP="00EB2082">
      <w:pPr>
        <w:pStyle w:val="Ruller50"/>
        <w:numPr>
          <w:ilvl w:val="0"/>
          <w:numId w:val="11"/>
        </w:numPr>
      </w:pPr>
      <w:r>
        <w:rPr>
          <w:rtl/>
        </w:rPr>
        <w:t>גופות מחבלים שביצעו אירוע טרור חריג במיוחד יוחזקו בידי ישראל.</w:t>
      </w:r>
    </w:p>
    <w:p w:rsidR="00EB2082" w:rsidRDefault="00EB2082" w:rsidP="009E210F">
      <w:pPr>
        <w:pStyle w:val="Ruller40"/>
      </w:pPr>
      <w:r>
        <w:rPr>
          <w:rtl/>
        </w:rPr>
        <w:t xml:space="preserve"> </w:t>
      </w:r>
    </w:p>
    <w:p w:rsidR="00EB2082" w:rsidRDefault="00EB2082" w:rsidP="00EB2082">
      <w:pPr>
        <w:pStyle w:val="Ruller40"/>
        <w:rPr>
          <w:rFonts w:ascii="FrankRuehl" w:hAnsi="FrankRuehl"/>
          <w:color w:val="000000"/>
          <w:sz w:val="28"/>
          <w:rtl/>
        </w:rPr>
      </w:pPr>
      <w:r>
        <w:rPr>
          <w:rtl/>
        </w:rPr>
        <w:tab/>
        <w:t xml:space="preserve">החלטת הקבינט התבססה על ההערכה שהחזקת גופות מחבלים המשתייכים לשתי הקטגוריות האחרונות </w:t>
      </w:r>
      <w:r>
        <w:rPr>
          <w:rFonts w:ascii="FrankRuehl" w:hAnsi="FrankRuehl"/>
          <w:color w:val="000000"/>
          <w:sz w:val="28"/>
          <w:rtl/>
        </w:rPr>
        <w:t>עשויות להיות בעלות "הקשר סמלי מיוחד" וכי קיימת אפשרות שהחזקתן</w:t>
      </w:r>
      <w:r>
        <w:rPr>
          <w:rtl/>
        </w:rPr>
        <w:t xml:space="preserve"> תסייע ותקדם משא ומתן לגבי השבת אזרחים וגופות חללי צה"ל המוחזקים בידי ארגון החמאס וארגונים אחרים. </w:t>
      </w:r>
    </w:p>
    <w:p w:rsidR="00EB2082" w:rsidRDefault="00EB2082" w:rsidP="00EB2082">
      <w:pPr>
        <w:pStyle w:val="Ruller40"/>
        <w:rPr>
          <w:rtl/>
        </w:rPr>
      </w:pPr>
    </w:p>
    <w:p w:rsidR="00EB2082" w:rsidRDefault="00EB2082" w:rsidP="00EB2082">
      <w:pPr>
        <w:pStyle w:val="Ruller40"/>
        <w:rPr>
          <w:rtl/>
        </w:rPr>
      </w:pPr>
      <w:r>
        <w:rPr>
          <w:rtl/>
        </w:rPr>
        <w:t>3.</w:t>
      </w:r>
      <w:r>
        <w:rPr>
          <w:rtl/>
        </w:rPr>
        <w:tab/>
        <w:t>החלטת הקבינט הראשונה עמדה בפני בית משפט זה ב</w:t>
      </w:r>
      <w:r>
        <w:rPr>
          <w:rFonts w:ascii="Century" w:hAnsi="Century"/>
          <w:rtl/>
        </w:rPr>
        <w:t xml:space="preserve">בג"ץ 4466/16 </w:t>
      </w:r>
      <w:proofErr w:type="spellStart"/>
      <w:r>
        <w:rPr>
          <w:rFonts w:ascii="Century" w:hAnsi="Century" w:cs="Miriam"/>
          <w:b/>
          <w:spacing w:val="0"/>
          <w:szCs w:val="24"/>
          <w:rtl/>
        </w:rPr>
        <w:t>עליאן</w:t>
      </w:r>
      <w:proofErr w:type="spellEnd"/>
      <w:r>
        <w:rPr>
          <w:rFonts w:ascii="Century" w:hAnsi="Century" w:cs="Miriam"/>
          <w:b/>
          <w:spacing w:val="0"/>
          <w:szCs w:val="24"/>
          <w:rtl/>
        </w:rPr>
        <w:t xml:space="preserve"> נ'</w:t>
      </w:r>
      <w:r>
        <w:rPr>
          <w:rFonts w:ascii="Century" w:hAnsi="Century"/>
          <w:rtl/>
        </w:rPr>
        <w:t xml:space="preserve"> </w:t>
      </w:r>
      <w:r>
        <w:rPr>
          <w:rFonts w:ascii="Century" w:hAnsi="Century" w:cs="Miriam"/>
          <w:b/>
          <w:spacing w:val="0"/>
          <w:szCs w:val="24"/>
          <w:rtl/>
        </w:rPr>
        <w:t xml:space="preserve">מפקד כוחות צה"ל באזור יהודה והשומרון </w:t>
      </w:r>
      <w:r>
        <w:rPr>
          <w:rFonts w:ascii="Century" w:hAnsi="Century"/>
          <w:rtl/>
        </w:rPr>
        <w:t>(</w:t>
      </w:r>
      <w:r>
        <w:rPr>
          <w:rtl/>
        </w:rPr>
        <w:t xml:space="preserve">14.12.2017) (להלן: </w:t>
      </w:r>
      <w:r>
        <w:rPr>
          <w:rFonts w:ascii="Century" w:hAnsi="Century"/>
          <w:rtl/>
        </w:rPr>
        <w:t>עניין</w:t>
      </w:r>
      <w:r>
        <w:rPr>
          <w:rFonts w:ascii="Century" w:hAnsi="Century" w:cs="Miriam"/>
          <w:b/>
          <w:spacing w:val="0"/>
          <w:szCs w:val="24"/>
          <w:rtl/>
        </w:rPr>
        <w:t xml:space="preserve"> </w:t>
      </w:r>
      <w:proofErr w:type="spellStart"/>
      <w:r>
        <w:rPr>
          <w:rFonts w:ascii="Century" w:hAnsi="Century" w:cs="Miriam"/>
          <w:b/>
          <w:spacing w:val="0"/>
          <w:szCs w:val="24"/>
          <w:rtl/>
        </w:rPr>
        <w:t>עליאן</w:t>
      </w:r>
      <w:proofErr w:type="spellEnd"/>
      <w:r>
        <w:rPr>
          <w:rtl/>
        </w:rPr>
        <w:t xml:space="preserve">) </w:t>
      </w:r>
      <w:proofErr w:type="spellStart"/>
      <w:r>
        <w:rPr>
          <w:rtl/>
        </w:rPr>
        <w:t>ובדנג"ץ</w:t>
      </w:r>
      <w:proofErr w:type="spellEnd"/>
      <w:r>
        <w:rPr>
          <w:rtl/>
        </w:rPr>
        <w:t xml:space="preserve"> 10190/17 </w:t>
      </w:r>
      <w:r>
        <w:rPr>
          <w:rFonts w:ascii="Century" w:hAnsi="Century" w:cs="Miriam"/>
          <w:b/>
          <w:spacing w:val="0"/>
          <w:szCs w:val="24"/>
          <w:rtl/>
        </w:rPr>
        <w:t xml:space="preserve">מפקד כוחות צה"ל באזור יהודה והשומרון נ' </w:t>
      </w:r>
      <w:proofErr w:type="spellStart"/>
      <w:r>
        <w:rPr>
          <w:rFonts w:ascii="Century" w:hAnsi="Century" w:cs="Miriam"/>
          <w:b/>
          <w:spacing w:val="0"/>
          <w:szCs w:val="24"/>
          <w:rtl/>
        </w:rPr>
        <w:t>עליאן</w:t>
      </w:r>
      <w:proofErr w:type="spellEnd"/>
      <w:r>
        <w:rPr>
          <w:rtl/>
        </w:rPr>
        <w:t xml:space="preserve"> (9.9.2017) (להלן: </w:t>
      </w:r>
      <w:proofErr w:type="spellStart"/>
      <w:r>
        <w:rPr>
          <w:rFonts w:ascii="Century" w:hAnsi="Century" w:cs="Miriam"/>
          <w:b/>
          <w:spacing w:val="0"/>
          <w:szCs w:val="24"/>
          <w:rtl/>
        </w:rPr>
        <w:t>דנג"ץ</w:t>
      </w:r>
      <w:proofErr w:type="spellEnd"/>
      <w:r>
        <w:rPr>
          <w:rFonts w:ascii="Century" w:hAnsi="Century" w:cs="Miriam"/>
          <w:b/>
          <w:spacing w:val="0"/>
          <w:szCs w:val="24"/>
          <w:rtl/>
        </w:rPr>
        <w:t xml:space="preserve"> </w:t>
      </w:r>
      <w:proofErr w:type="spellStart"/>
      <w:r>
        <w:rPr>
          <w:rFonts w:ascii="Century" w:hAnsi="Century" w:cs="Miriam"/>
          <w:b/>
          <w:spacing w:val="0"/>
          <w:szCs w:val="24"/>
          <w:rtl/>
        </w:rPr>
        <w:t>עליאן</w:t>
      </w:r>
      <w:proofErr w:type="spellEnd"/>
      <w:r>
        <w:rPr>
          <w:rtl/>
        </w:rPr>
        <w:t xml:space="preserve">). במסגרת פסק הדין בדיון הנוסף התקבלה ברוב דעות (הנשיאה </w:t>
      </w:r>
      <w:r>
        <w:rPr>
          <w:rFonts w:ascii="Century" w:hAnsi="Century" w:cs="Miriam"/>
          <w:b/>
          <w:spacing w:val="0"/>
          <w:szCs w:val="24"/>
          <w:rtl/>
        </w:rPr>
        <w:t>חיות</w:t>
      </w:r>
      <w:r>
        <w:rPr>
          <w:rtl/>
        </w:rPr>
        <w:t xml:space="preserve"> והשופטים </w:t>
      </w:r>
      <w:r>
        <w:rPr>
          <w:rFonts w:ascii="Century" w:hAnsi="Century" w:cs="Miriam"/>
          <w:b/>
          <w:spacing w:val="0"/>
          <w:szCs w:val="24"/>
          <w:rtl/>
        </w:rPr>
        <w:t>הנדל</w:t>
      </w:r>
      <w:r>
        <w:rPr>
          <w:rFonts w:ascii="Century" w:hAnsi="Century"/>
          <w:rtl/>
        </w:rPr>
        <w:t>,</w:t>
      </w:r>
      <w:r>
        <w:rPr>
          <w:rFonts w:ascii="Century" w:hAnsi="Century" w:cs="Miriam"/>
          <w:b/>
          <w:spacing w:val="0"/>
          <w:szCs w:val="24"/>
          <w:rtl/>
        </w:rPr>
        <w:t xml:space="preserve"> עמית </w:t>
      </w:r>
      <w:proofErr w:type="spellStart"/>
      <w:r>
        <w:rPr>
          <w:rFonts w:ascii="Century" w:hAnsi="Century" w:cs="Miriam"/>
          <w:b/>
          <w:spacing w:val="0"/>
          <w:szCs w:val="24"/>
          <w:rtl/>
        </w:rPr>
        <w:t>וסולברג</w:t>
      </w:r>
      <w:proofErr w:type="spellEnd"/>
      <w:r>
        <w:rPr>
          <w:rtl/>
        </w:rPr>
        <w:t xml:space="preserve"> כנגד דעתם החולקת של השופטים </w:t>
      </w:r>
      <w:proofErr w:type="spellStart"/>
      <w:r>
        <w:rPr>
          <w:rFonts w:ascii="Century" w:hAnsi="Century" w:cs="Miriam"/>
          <w:b/>
          <w:spacing w:val="0"/>
          <w:szCs w:val="24"/>
          <w:rtl/>
        </w:rPr>
        <w:t>פוגלמן</w:t>
      </w:r>
      <w:proofErr w:type="spellEnd"/>
      <w:r>
        <w:rPr>
          <w:rFonts w:ascii="Century" w:hAnsi="Century"/>
          <w:rtl/>
        </w:rPr>
        <w:t>,</w:t>
      </w:r>
      <w:r>
        <w:rPr>
          <w:rFonts w:ascii="Century" w:hAnsi="Century" w:cs="Miriam"/>
          <w:b/>
          <w:spacing w:val="0"/>
          <w:szCs w:val="24"/>
          <w:rtl/>
        </w:rPr>
        <w:t xml:space="preserve"> ברק-ארז וקרא</w:t>
      </w:r>
      <w:r>
        <w:rPr>
          <w:rtl/>
        </w:rPr>
        <w:t xml:space="preserve">) העמדה לפיה יש בידי המדינה סמכות להחזיק בגופות מחבלים לצרכי משא ומתן להשבת חיילי </w:t>
      </w:r>
      <w:r>
        <w:rPr>
          <w:rtl/>
        </w:rPr>
        <w:lastRenderedPageBreak/>
        <w:t xml:space="preserve">וחללי צה"ל ואזרחי ישראל המוחזקים בידי ארגוני טרור, ובמסגרת זו, ניתן להורות על קבורה ארעית מכוח תקנה 133(3) לתקנות ההגנה (שעת חירום) 1945 (להלן: </w:t>
      </w:r>
      <w:r>
        <w:rPr>
          <w:rFonts w:ascii="Century" w:hAnsi="Century" w:cs="Miriam"/>
          <w:b/>
          <w:spacing w:val="0"/>
          <w:szCs w:val="24"/>
          <w:rtl/>
        </w:rPr>
        <w:t>תקנות ההגנה</w:t>
      </w:r>
      <w:r>
        <w:rPr>
          <w:rtl/>
        </w:rPr>
        <w:t xml:space="preserve">). יודגש כי המחלוקת בין שופטי הרוב לשופטי המיעוט נגעה אך ורק לשאלת מקור הסמכות – אם ניתן להסתפק בתקנה 133(3) הנ"ל או שיש להסדיר את הנושא בחקיקה ראשית מפורשת. </w:t>
      </w:r>
    </w:p>
    <w:p w:rsidR="00EB2082" w:rsidRDefault="00EB2082" w:rsidP="00EB2082">
      <w:pPr>
        <w:pStyle w:val="Ruller40"/>
        <w:rPr>
          <w:rtl/>
        </w:rPr>
      </w:pPr>
    </w:p>
    <w:p w:rsidR="00EB2082" w:rsidRDefault="00EB2082" w:rsidP="00EB2082">
      <w:pPr>
        <w:pStyle w:val="Ruller40"/>
        <w:rPr>
          <w:rtl/>
        </w:rPr>
      </w:pPr>
      <w:r>
        <w:rPr>
          <w:rtl/>
        </w:rPr>
        <w:t>4.</w:t>
      </w:r>
      <w:r>
        <w:rPr>
          <w:rtl/>
        </w:rPr>
        <w:tab/>
        <w:t xml:space="preserve">המדיניות של אי החזרת גופות הורחבה באופן רבתי ביום 2.9.2020 (החלטת הקבינט ב/10) גם על מחבלים שאינם משויכים לארגון החמאס, וזאת במקרה שבו התוצאה הייתה רצח או פציעה או במקרה של נשיאת אמצעי לחימה (להלן: </w:t>
      </w:r>
      <w:r>
        <w:rPr>
          <w:rFonts w:ascii="Century" w:hAnsi="Century" w:cs="Miriam"/>
          <w:b/>
          <w:spacing w:val="0"/>
          <w:szCs w:val="24"/>
          <w:rtl/>
        </w:rPr>
        <w:t>החלטת הקבינט השנייה</w:t>
      </w:r>
      <w:r>
        <w:rPr>
          <w:rtl/>
        </w:rPr>
        <w:t xml:space="preserve">) כלהלן: </w:t>
      </w:r>
    </w:p>
    <w:p w:rsidR="00EB2082" w:rsidRDefault="00EB2082" w:rsidP="00EB2082">
      <w:pPr>
        <w:pStyle w:val="Ruller40"/>
        <w:rPr>
          <w:rtl/>
        </w:rPr>
      </w:pPr>
    </w:p>
    <w:p w:rsidR="00EB2082" w:rsidRDefault="00EB2082" w:rsidP="00EB2082">
      <w:pPr>
        <w:pStyle w:val="Ruller50"/>
        <w:rPr>
          <w:rtl/>
        </w:rPr>
      </w:pPr>
      <w:r>
        <w:rPr>
          <w:rtl/>
        </w:rPr>
        <w:t xml:space="preserve">"מחליטים, לעדכן את החלטת ועדת השרים לענייני ביטחון לאומי מס' ב/171 מיום 1.1.2017 ולהוסיף כי יש למנוע החזרת גופות מחבלים, ללא קשר לשיוכן הארגוני, זאת, אם המחבלים רצחו או פצעו אדם, או נשאו אמצעי לחימה (קר או חם). לכשתיפתר סוגיית </w:t>
      </w:r>
      <w:proofErr w:type="spellStart"/>
      <w:r>
        <w:rPr>
          <w:rtl/>
        </w:rPr>
        <w:t>השו"ן</w:t>
      </w:r>
      <w:proofErr w:type="spellEnd"/>
      <w:r>
        <w:rPr>
          <w:rtl/>
        </w:rPr>
        <w:t>, תיבחן ההחלטה מחדש בהתאם ובכפוף להערכת מצב. בסמכותו של שר הביטחון לחרוג ממדיניות זו במקרים מיוחדים".</w:t>
      </w:r>
    </w:p>
    <w:p w:rsidR="00EB2082" w:rsidRDefault="00EB2082" w:rsidP="009E210F">
      <w:pPr>
        <w:pStyle w:val="Ruller40"/>
        <w:rPr>
          <w:rtl/>
        </w:rPr>
      </w:pPr>
    </w:p>
    <w:p w:rsidR="00EB2082" w:rsidRDefault="00EB2082" w:rsidP="00EB2082">
      <w:pPr>
        <w:pStyle w:val="Ruller40"/>
      </w:pPr>
      <w:r>
        <w:rPr>
          <w:rtl/>
        </w:rPr>
        <w:t>5.</w:t>
      </w:r>
      <w:r>
        <w:rPr>
          <w:rtl/>
        </w:rPr>
        <w:tab/>
        <w:t xml:space="preserve">החלטת הקבינט השנייה התקבלה למעשה בעקבות ותוך כדי הדיון בעתירה בבג"ץ 4462/20 </w:t>
      </w:r>
      <w:r>
        <w:rPr>
          <w:rFonts w:ascii="Century" w:hAnsi="Century" w:cs="Miriam"/>
          <w:b/>
          <w:spacing w:val="0"/>
          <w:szCs w:val="24"/>
          <w:rtl/>
        </w:rPr>
        <w:t xml:space="preserve">עריקאת נ' המפקד הצבאי </w:t>
      </w:r>
      <w:r>
        <w:rPr>
          <w:rtl/>
        </w:rPr>
        <w:t xml:space="preserve">(18.8.2021) (להלן: </w:t>
      </w:r>
      <w:r>
        <w:rPr>
          <w:rFonts w:ascii="Century" w:hAnsi="Century"/>
          <w:rtl/>
        </w:rPr>
        <w:t>עניין</w:t>
      </w:r>
      <w:r>
        <w:rPr>
          <w:rFonts w:ascii="Century" w:hAnsi="Century" w:cs="Miriam"/>
          <w:b/>
          <w:spacing w:val="0"/>
          <w:szCs w:val="24"/>
          <w:rtl/>
        </w:rPr>
        <w:t xml:space="preserve"> עריקאת</w:t>
      </w:r>
      <w:r>
        <w:rPr>
          <w:rtl/>
        </w:rPr>
        <w:t xml:space="preserve">), לאחר שהתברר כי גופת המחבל באותו מקרה הוחזקה שלא על פי החלטת הקבינט הראשונה. בהודעת המשיבים במסגרת הדיון בעתירה הובהר כי ביחס לכל גופה "נשקלים קריטריונים הנוגעים לנסיבות הפיגוע ותוצאותיו; מאפייני המחבל; ונסיבות הקשורות למשא ומתן להשבת אזרחי מדינת ישראל וחללי צה"ל". </w:t>
      </w:r>
    </w:p>
    <w:p w:rsidR="00EB2082" w:rsidRDefault="00EB2082" w:rsidP="00EB2082">
      <w:pPr>
        <w:pStyle w:val="Ruller40"/>
        <w:rPr>
          <w:rFonts w:ascii="Century" w:hAnsi="Century" w:cs="Miriam"/>
          <w:b/>
          <w:spacing w:val="0"/>
          <w:szCs w:val="24"/>
        </w:rPr>
      </w:pPr>
    </w:p>
    <w:p w:rsidR="00EB2082" w:rsidRDefault="00EB2082" w:rsidP="00EB2082">
      <w:pPr>
        <w:pStyle w:val="Ruller40"/>
        <w:rPr>
          <w:rtl/>
        </w:rPr>
      </w:pPr>
      <w:r>
        <w:rPr>
          <w:rtl/>
        </w:rPr>
        <w:tab/>
        <w:t xml:space="preserve">בפסק הדין בעניין </w:t>
      </w:r>
      <w:r>
        <w:rPr>
          <w:rFonts w:ascii="Century" w:hAnsi="Century" w:cs="Miriam"/>
          <w:b/>
          <w:spacing w:val="0"/>
          <w:szCs w:val="24"/>
          <w:rtl/>
        </w:rPr>
        <w:t>עריקאת</w:t>
      </w:r>
      <w:r>
        <w:rPr>
          <w:rtl/>
        </w:rPr>
        <w:t xml:space="preserve"> נפסק בדעת רוב מפי השופט </w:t>
      </w:r>
      <w:r>
        <w:rPr>
          <w:rFonts w:ascii="Century" w:hAnsi="Century" w:cs="Miriam"/>
          <w:b/>
          <w:spacing w:val="0"/>
          <w:szCs w:val="24"/>
          <w:rtl/>
        </w:rPr>
        <w:t>הנדל</w:t>
      </w:r>
      <w:r>
        <w:rPr>
          <w:rtl/>
        </w:rPr>
        <w:t xml:space="preserve"> והשופט </w:t>
      </w:r>
      <w:r>
        <w:rPr>
          <w:rFonts w:ascii="Century" w:hAnsi="Century" w:cs="Miriam"/>
          <w:b/>
          <w:spacing w:val="0"/>
          <w:szCs w:val="24"/>
          <w:rtl/>
        </w:rPr>
        <w:t>מינץ</w:t>
      </w:r>
      <w:r>
        <w:rPr>
          <w:rtl/>
        </w:rPr>
        <w:t xml:space="preserve">, כנגד דעתי החולקת, כי המדינה רשאית להמשיך להחזיק בגופת המחבל. השופט </w:t>
      </w:r>
      <w:r>
        <w:rPr>
          <w:rFonts w:ascii="Century" w:hAnsi="Century" w:cs="Miriam"/>
          <w:b/>
          <w:spacing w:val="0"/>
          <w:szCs w:val="24"/>
          <w:rtl/>
        </w:rPr>
        <w:t>הנדל</w:t>
      </w:r>
      <w:r>
        <w:rPr>
          <w:rtl/>
        </w:rPr>
        <w:t xml:space="preserve"> ציין כי "אין במדיניות החדשה פגם במישור הסמכות", והשופט </w:t>
      </w:r>
      <w:r>
        <w:rPr>
          <w:rFonts w:ascii="Century" w:hAnsi="Century" w:cs="Miriam"/>
          <w:b/>
          <w:spacing w:val="0"/>
          <w:szCs w:val="24"/>
          <w:rtl/>
        </w:rPr>
        <w:t>מינץ</w:t>
      </w:r>
      <w:r>
        <w:rPr>
          <w:rtl/>
        </w:rPr>
        <w:t xml:space="preserve"> ציין כי "הפתרון שמציע חברי השופט </w:t>
      </w:r>
      <w:r>
        <w:rPr>
          <w:rFonts w:ascii="Century" w:hAnsi="Century" w:cs="Miriam"/>
          <w:b/>
          <w:spacing w:val="0"/>
          <w:szCs w:val="24"/>
          <w:rtl/>
        </w:rPr>
        <w:t>הנדל</w:t>
      </w:r>
      <w:r>
        <w:rPr>
          <w:rtl/>
        </w:rPr>
        <w:t xml:space="preserve">, על פיו לעת הזאת העתירה תידחה ובעתיד לבוא ניתן לבדוק את מאזן האינטרסים בשנית, הוא פתרון ראוי ונכון". בדעת המיעוט ציינתי כי "איני נדרש לבחון את מכלול השאלות האתיות-מוסריות-ערכיות הנוגעות למדיניות של החזקת גופות מחבלים ולשימוש בהן כ'קלפי מיקוח' אל מול ארגון החמאס", וכי יש להורות על השבת גופתו של המחבל עריקאת, מאחר שהוחזקה שלא כדין ושלא בגדר החלטת הקבינט הראשונה, כאשר החלטת הקבינט השנייה התקבלה רק לאחר מכן. </w:t>
      </w:r>
    </w:p>
    <w:p w:rsidR="00EB2082" w:rsidRDefault="00EB2082" w:rsidP="00EB2082">
      <w:pPr>
        <w:pStyle w:val="Ruller40"/>
        <w:rPr>
          <w:rtl/>
        </w:rPr>
      </w:pPr>
    </w:p>
    <w:p w:rsidR="00EB2082" w:rsidRDefault="00EB2082" w:rsidP="00EB2082">
      <w:pPr>
        <w:pStyle w:val="Ruller40"/>
        <w:rPr>
          <w:rtl/>
        </w:rPr>
      </w:pPr>
      <w:r>
        <w:rPr>
          <w:rtl/>
        </w:rPr>
        <w:tab/>
        <w:t xml:space="preserve">בקשה לקיים דיון נוסף בפסק הדין בעניין </w:t>
      </w:r>
      <w:r>
        <w:rPr>
          <w:rFonts w:ascii="Century" w:hAnsi="Century" w:cs="Miriam"/>
          <w:b/>
          <w:spacing w:val="0"/>
          <w:szCs w:val="24"/>
          <w:rtl/>
        </w:rPr>
        <w:t>עריקאת</w:t>
      </w:r>
      <w:r>
        <w:rPr>
          <w:rtl/>
        </w:rPr>
        <w:t xml:space="preserve"> נדחתה (</w:t>
      </w:r>
      <w:proofErr w:type="spellStart"/>
      <w:r>
        <w:rPr>
          <w:rtl/>
        </w:rPr>
        <w:t>דנג"ץ</w:t>
      </w:r>
      <w:proofErr w:type="spellEnd"/>
      <w:r>
        <w:rPr>
          <w:rtl/>
        </w:rPr>
        <w:t xml:space="preserve"> 7324/21 </w:t>
      </w:r>
      <w:r>
        <w:rPr>
          <w:rFonts w:ascii="Century" w:hAnsi="Century" w:cs="Miriam"/>
          <w:b/>
          <w:spacing w:val="0"/>
          <w:szCs w:val="24"/>
          <w:rtl/>
        </w:rPr>
        <w:t>עריקאת נ' המפקד הצבאי לאזור יהודה ושומרון</w:t>
      </w:r>
      <w:r>
        <w:rPr>
          <w:rtl/>
        </w:rPr>
        <w:t xml:space="preserve"> (31.12.2022)). </w:t>
      </w:r>
    </w:p>
    <w:p w:rsidR="00EB2082" w:rsidRDefault="00EB2082" w:rsidP="00EB2082">
      <w:pPr>
        <w:pStyle w:val="Ruller40"/>
        <w:rPr>
          <w:rtl/>
        </w:rPr>
      </w:pPr>
    </w:p>
    <w:p w:rsidR="00EB2082" w:rsidRDefault="00EB2082" w:rsidP="00EB2082">
      <w:pPr>
        <w:pStyle w:val="Ruller40"/>
        <w:keepNext/>
        <w:rPr>
          <w:rFonts w:ascii="Century" w:hAnsi="Century" w:cs="Miriam"/>
          <w:b/>
          <w:spacing w:val="0"/>
          <w:szCs w:val="24"/>
          <w:rtl/>
        </w:rPr>
      </w:pPr>
      <w:r>
        <w:rPr>
          <w:rFonts w:ascii="Century" w:hAnsi="Century" w:cs="Miriam"/>
          <w:b/>
          <w:spacing w:val="0"/>
          <w:szCs w:val="24"/>
          <w:rtl/>
        </w:rPr>
        <w:t>רקע עובדתי</w:t>
      </w:r>
    </w:p>
    <w:p w:rsidR="00EB2082" w:rsidRDefault="00EB2082" w:rsidP="00EB2082">
      <w:pPr>
        <w:pStyle w:val="Ruller40"/>
        <w:keepNext/>
        <w:rPr>
          <w:rtl/>
        </w:rPr>
      </w:pPr>
    </w:p>
    <w:p w:rsidR="00EB2082" w:rsidRDefault="00EB2082" w:rsidP="00EB2082">
      <w:pPr>
        <w:pStyle w:val="Ruller40"/>
        <w:rPr>
          <w:rtl/>
        </w:rPr>
      </w:pPr>
      <w:r>
        <w:rPr>
          <w:rtl/>
        </w:rPr>
        <w:t>6.</w:t>
      </w:r>
      <w:r>
        <w:rPr>
          <w:rtl/>
        </w:rPr>
        <w:tab/>
        <w:t xml:space="preserve">כפי שנזכר לעיל, דקה הורשע בבית המשפט הצבאי בלוד בפרשת חטיפתו ורציחתו של החייל משה </w:t>
      </w:r>
      <w:proofErr w:type="spellStart"/>
      <w:r>
        <w:rPr>
          <w:rtl/>
        </w:rPr>
        <w:t>תמם</w:t>
      </w:r>
      <w:proofErr w:type="spellEnd"/>
      <w:r>
        <w:rPr>
          <w:rtl/>
        </w:rPr>
        <w:t xml:space="preserve"> ז"ל, לצד עבירות נוספות כמו חברות בהתאגדות אסורה. דקה עצמו לא השתתף בפועל בחטיפה וברצח, אך הודה במעורבותו בחטיפה, תוך שהוא כופר בכך שהורה לאחד מחברי החוליה להרוג את החייל אם יתעוררו קשיים במהלך חטיפתו. כפירתו של דקה נדחתה על ידי בית הדין הצבאי, שניתח את הראיות שבפניו, וקבע כי דקה קיבל את דבריו של אחד מחברי החוליה שאמר שאם החייל החטוף יגלה התנגדות צריך להרוג אותו, ולכן יש לראותו כמי ש"ביודעין ובזדון כלשון התקנה חיזק את ידיהם של אנשי הכנופיה במזימתם הרצחנית".</w:t>
      </w:r>
    </w:p>
    <w:p w:rsidR="00EB2082" w:rsidRDefault="00EB2082" w:rsidP="00EB2082">
      <w:pPr>
        <w:pStyle w:val="Ruller40"/>
        <w:rPr>
          <w:rtl/>
        </w:rPr>
      </w:pPr>
    </w:p>
    <w:p w:rsidR="00EB2082" w:rsidRDefault="00EB2082" w:rsidP="00EB2082">
      <w:pPr>
        <w:pStyle w:val="Ruller40"/>
        <w:rPr>
          <w:rtl/>
        </w:rPr>
      </w:pPr>
      <w:r>
        <w:rPr>
          <w:rtl/>
        </w:rPr>
        <w:tab/>
        <w:t xml:space="preserve">דקה נידון למאסר עולם, כמו שני חברי החוליה הנוספים, ובשנת 2012 נקצב עונשו ל-37 שנות מאסר החל מיום מעצרו, על פי החלטת נשיא המדינה דאז שמעון פרס ז"ל. אציין כי </w:t>
      </w:r>
      <w:proofErr w:type="spellStart"/>
      <w:r>
        <w:rPr>
          <w:rtl/>
        </w:rPr>
        <w:t>קציבת</w:t>
      </w:r>
      <w:proofErr w:type="spellEnd"/>
      <w:r>
        <w:rPr>
          <w:rtl/>
        </w:rPr>
        <w:t xml:space="preserve"> העונש למחבל שהורשע בעבירת רצח היא חריגה ביותר, אך כפי שנמסר על ידי משיבי המדינה, אין מדובר במקרה יחיד במינו. מכל מקום, החשוב לענייננו הוא כי דקה היה אמור להשתחרר ביום 24.3.2023. ברם, ביום 28.5.2018 דקה נדון למאסר בפועל של שנתיים נוספות במצטבר לעונש של 37 שנה, כך שהיה אמור להשתחרר רק ביום 25.3.2025. זאת, לאחר שהורשע בעבירה ביטחונית של ניסיון להברחת טלפון לכלא (המדובר בפרשה שבה הורשע חבר הכנסת דאז באסל </w:t>
      </w:r>
      <w:proofErr w:type="spellStart"/>
      <w:r>
        <w:rPr>
          <w:rtl/>
        </w:rPr>
        <w:t>גטאס</w:t>
      </w:r>
      <w:proofErr w:type="spellEnd"/>
      <w:r>
        <w:rPr>
          <w:rtl/>
        </w:rPr>
        <w:t xml:space="preserve">). </w:t>
      </w:r>
    </w:p>
    <w:p w:rsidR="00EB2082" w:rsidRDefault="00EB2082" w:rsidP="00EB2082">
      <w:pPr>
        <w:pStyle w:val="Ruller40"/>
        <w:rPr>
          <w:rtl/>
        </w:rPr>
      </w:pPr>
    </w:p>
    <w:p w:rsidR="00EB2082" w:rsidRDefault="00EB2082" w:rsidP="00EB2082">
      <w:pPr>
        <w:pStyle w:val="Ruller40"/>
        <w:rPr>
          <w:rtl/>
        </w:rPr>
      </w:pPr>
      <w:r>
        <w:rPr>
          <w:rtl/>
        </w:rPr>
        <w:t>7.</w:t>
      </w:r>
      <w:r>
        <w:rPr>
          <w:rtl/>
        </w:rPr>
        <w:tab/>
        <w:t xml:space="preserve">ביני לביני דקה אובחן בדצמבר 2022 כחולה סרטן, וביקש להשתחרר ממאסרו לאור הערכת רופא שב"ס כי תוחלת חייו היא כשנתיים. בקשתו נדחתה בהחלטתה של ועדת השחרורים מיום 31.5.2023, שבגדרה נקבע כי הסמכות לדון בבקשה לשחרור מוקדם מטעמים מיוחדים של מחבל, שהוא בבחינת אסיר עולם, היא של ועדת שחרורים מיוחדת. גם ועדת השחרורים המיוחדת דחתה את בקשתו של דקה בהחלטתה מיום 26.6.2023, ועתירה שהוגשה כנגד החלטתה זו נדחתה משנקבע כי על דקה חלה הוראת סעיף 40א לחוק המאבק בטרור, התשע"ו-2016 (להלן: </w:t>
      </w:r>
      <w:r>
        <w:rPr>
          <w:rFonts w:ascii="Century" w:hAnsi="Century" w:cs="Miriam"/>
          <w:b/>
          <w:spacing w:val="0"/>
          <w:szCs w:val="24"/>
          <w:rtl/>
        </w:rPr>
        <w:t>חוק המאבק בטרור</w:t>
      </w:r>
      <w:r>
        <w:rPr>
          <w:rtl/>
        </w:rPr>
        <w:t>) הקובעת כלהלן:</w:t>
      </w:r>
    </w:p>
    <w:p w:rsidR="00EB2082" w:rsidRDefault="00EB2082" w:rsidP="00EB2082">
      <w:pPr>
        <w:pStyle w:val="Ruller40"/>
        <w:rPr>
          <w:rFonts w:ascii="Century" w:hAnsi="Century" w:cs="Miriam"/>
          <w:b/>
          <w:spacing w:val="0"/>
          <w:szCs w:val="24"/>
          <w:rtl/>
        </w:rPr>
      </w:pPr>
    </w:p>
    <w:p w:rsidR="00EB2082" w:rsidRDefault="00EB2082" w:rsidP="00EB2082">
      <w:pPr>
        <w:pStyle w:val="Ruller50"/>
        <w:rPr>
          <w:rFonts w:ascii="Century" w:hAnsi="Century" w:cs="Miriam"/>
          <w:b/>
          <w:spacing w:val="0"/>
          <w:szCs w:val="24"/>
          <w:rtl/>
        </w:rPr>
      </w:pPr>
      <w:r>
        <w:rPr>
          <w:rFonts w:ascii="Century" w:hAnsi="Century" w:cs="Miriam"/>
          <w:b/>
          <w:spacing w:val="0"/>
          <w:szCs w:val="24"/>
          <w:shd w:val="clear" w:color="auto" w:fill="FFFFFF"/>
          <w:rtl/>
        </w:rPr>
        <w:lastRenderedPageBreak/>
        <w:t>מניעת שחרור על-תנאי ממאסר של מי שהורשע ברצח או בניסיון לרצח</w:t>
      </w:r>
    </w:p>
    <w:p w:rsidR="00EB2082" w:rsidRDefault="00EB2082" w:rsidP="00EB2082">
      <w:pPr>
        <w:pStyle w:val="Ruller50"/>
        <w:rPr>
          <w:rFonts w:ascii="Century" w:hAnsi="Century"/>
          <w:rtl/>
        </w:rPr>
      </w:pPr>
      <w:r>
        <w:rPr>
          <w:rFonts w:ascii="Century" w:hAnsi="Century"/>
          <w:rtl/>
        </w:rPr>
        <w:t>40א. לא ישוחרר על-תנאי מנשיאת יתרת תקופת מאסרו לפי חוק שחרור על-תנאי ממאסר, התשס"א-2001, מי שנגזר עליו עונש מאסר בשל ביצוע עבירה של רצח, רצח בנסיבות מחמירות או ניסיון לרצח שבית המשפט קבע לגביה בפסק דינו, לפי סעיף 37, שהיא מעשה טרור, או מי שוועדת שחרורים מיוחדת לפי סעיף 33(א) לחוק האמור, מצאה על יסוד פסק הדין בעניינו כי עבר עבירה כאמור שהיא מעשה טרור לפני תחילתו של חוק זה.</w:t>
      </w:r>
    </w:p>
    <w:p w:rsidR="00EB2082" w:rsidRDefault="00EB2082" w:rsidP="009E210F">
      <w:pPr>
        <w:pStyle w:val="Ruller40"/>
        <w:rPr>
          <w:rtl/>
        </w:rPr>
      </w:pPr>
    </w:p>
    <w:p w:rsidR="00EB2082" w:rsidRDefault="00EB2082" w:rsidP="00EB2082">
      <w:pPr>
        <w:pStyle w:val="Ruller40"/>
        <w:rPr>
          <w:rtl/>
        </w:rPr>
      </w:pPr>
      <w:r>
        <w:rPr>
          <w:rtl/>
        </w:rPr>
        <w:tab/>
        <w:t xml:space="preserve">בקשת רשות ערעור על החלטת בית המשפט נדחתה אף היא (בר"מ 6322/23 </w:t>
      </w:r>
      <w:r>
        <w:rPr>
          <w:rFonts w:ascii="Century" w:hAnsi="Century" w:cs="Miriam"/>
          <w:b/>
          <w:spacing w:val="0"/>
          <w:szCs w:val="24"/>
          <w:rtl/>
        </w:rPr>
        <w:t>פלוני נ' ועדת השחרורים המיוחדת</w:t>
      </w:r>
      <w:r>
        <w:rPr>
          <w:rtl/>
        </w:rPr>
        <w:t xml:space="preserve"> (22.11.2023)). </w:t>
      </w:r>
    </w:p>
    <w:p w:rsidR="00EB2082" w:rsidRDefault="00EB2082" w:rsidP="00EB2082">
      <w:pPr>
        <w:pStyle w:val="Ruller40"/>
        <w:rPr>
          <w:rtl/>
        </w:rPr>
      </w:pPr>
    </w:p>
    <w:p w:rsidR="00EB2082" w:rsidRDefault="00EB2082" w:rsidP="00EB2082">
      <w:pPr>
        <w:pStyle w:val="Ruller40"/>
        <w:rPr>
          <w:rtl/>
        </w:rPr>
      </w:pPr>
      <w:r>
        <w:rPr>
          <w:rtl/>
        </w:rPr>
        <w:t>8.</w:t>
      </w:r>
      <w:r>
        <w:rPr>
          <w:rtl/>
        </w:rPr>
        <w:tab/>
        <w:t xml:space="preserve">בשל מגבלות שהוטלו על אסירים ביטחוניים מאז השבעה באוקטובר, נמנע מבני משפחתו של דקה לבקרו על אף מצבו הסופני. ביום 26.3.2024 פנו בני משפחתו של דקה בבקשה לאפשר לעותרת לבקרו "בטרם יכלו ימיו ובטרם לא יהיה ניתן לתקשר עמו", אך הבקשה סורבה על ידי שב"ס. ביום 7.4.2024 דקה מת בבית החולים, ולטענת העותרים, מבלי שבני משפחתו קיבלו הודעה רשמית על מותו והיכן מוחזקת גופתו ומתי תימסר להם. </w:t>
      </w:r>
    </w:p>
    <w:p w:rsidR="00EB2082" w:rsidRDefault="00EB2082" w:rsidP="00EB2082">
      <w:pPr>
        <w:pStyle w:val="Ruller50"/>
        <w:rPr>
          <w:rtl/>
        </w:rPr>
      </w:pPr>
    </w:p>
    <w:p w:rsidR="00EB2082" w:rsidRDefault="00EB2082" w:rsidP="00EB2082">
      <w:pPr>
        <w:pStyle w:val="Ruller40"/>
      </w:pPr>
      <w:r>
        <w:rPr>
          <w:rtl/>
        </w:rPr>
        <w:t>9.</w:t>
      </w:r>
      <w:r>
        <w:rPr>
          <w:rtl/>
        </w:rPr>
        <w:tab/>
        <w:t xml:space="preserve">ביום 8.4.2024 פנו העותרים באמצעות בא כוחם לשב"ס בבקשה למסור לידי המשפחה את גופתו של דקה לצורך קבורה לפי מצוותם ודתם. פניה נוספת נעשתה ביום 11.4.2024 הן לשב"ס והן למפקד מחוז החוף ניצב דני לוי, לאחר שפורסם בכלי התקשורת כי הנ"ל מסרב לשחרר את גופתו של דקה. ביום 11.4.2024 נעשתה פנייה למחלקת </w:t>
      </w:r>
      <w:proofErr w:type="spellStart"/>
      <w:r>
        <w:rPr>
          <w:rtl/>
        </w:rPr>
        <w:t>בג"צים</w:t>
      </w:r>
      <w:proofErr w:type="spellEnd"/>
      <w:r>
        <w:rPr>
          <w:rtl/>
        </w:rPr>
        <w:t xml:space="preserve"> שהשיבה כי הפנייה הועברה לגורמים הרלוונטיים. ביום 14.4.2024 התקבל מענה לקוני של שורה אחת מאת שב"ס: "במענה לפנייתכם שבסימוכין [הכוונה לפניה מיום 8.4.2024 – </w:t>
      </w:r>
      <w:proofErr w:type="spellStart"/>
      <w:r>
        <w:rPr>
          <w:rtl/>
        </w:rPr>
        <w:t>י"ע</w:t>
      </w:r>
      <w:proofErr w:type="spellEnd"/>
      <w:r>
        <w:rPr>
          <w:rtl/>
        </w:rPr>
        <w:t>], הרינו להשיב כי שירות בתי הסוהר איננו מחזיק בגופות אסירים". ביום 16.4.2024 הוגשה העתירה דכאן.</w:t>
      </w:r>
    </w:p>
    <w:p w:rsidR="00EB2082" w:rsidRDefault="00EB2082" w:rsidP="00EB2082">
      <w:pPr>
        <w:pStyle w:val="Ruller40"/>
        <w:rPr>
          <w:rtl/>
        </w:rPr>
      </w:pPr>
    </w:p>
    <w:p w:rsidR="00EB2082" w:rsidRDefault="00EB2082" w:rsidP="00EB2082">
      <w:pPr>
        <w:pStyle w:val="Ruller40"/>
        <w:rPr>
          <w:rtl/>
        </w:rPr>
      </w:pPr>
      <w:r>
        <w:rPr>
          <w:rtl/>
        </w:rPr>
        <w:t>10.</w:t>
      </w:r>
      <w:r>
        <w:rPr>
          <w:rtl/>
        </w:rPr>
        <w:tab/>
        <w:t xml:space="preserve">ביום 21.4.2024 הוגשה תגובה מקדמית מטעם המשיבים שבה נכתב, בין היתר, כי על רקע מלחמת "חרבות ברזל" ושינוי הנסיבות, נערכת בחינה אם יש מקום לשנות מהמדיניות הנוהגת בעניין החזקת גופות מחבלים בעלי אזרחות ישראלית, ובהתאם לתוצאות בחינה זו: </w:t>
      </w:r>
    </w:p>
    <w:p w:rsidR="00EB2082" w:rsidRDefault="00EB2082" w:rsidP="00EB2082">
      <w:pPr>
        <w:pStyle w:val="Ruller50"/>
        <w:rPr>
          <w:rtl/>
        </w:rPr>
      </w:pPr>
    </w:p>
    <w:p w:rsidR="00EB2082" w:rsidRDefault="00EB2082" w:rsidP="00EB2082">
      <w:pPr>
        <w:pStyle w:val="Ruller50"/>
        <w:rPr>
          <w:rtl/>
        </w:rPr>
      </w:pPr>
      <w:r>
        <w:rPr>
          <w:rtl/>
        </w:rPr>
        <w:t xml:space="preserve">"יתברר האם יש צורך לבחון את שאלת החזקתה של הגופה הקונקרטית מושא ענייננו לתכלית זו, ואזי, ככל שהדבר יידרש, יגבש שר הביטחון את החלטתו הסופית </w:t>
      </w:r>
      <w:r>
        <w:rPr>
          <w:rtl/>
        </w:rPr>
        <w:lastRenderedPageBreak/>
        <w:t>אם יש מקום להנחות את המפקד הצבאי לעשות שימוש בסמכותו האמורה בעניין החזקת גופת המחבל. עד להשלמת התהליך ומתן החלטה סופית (וכל עוד העתירה דנן תלויה ועומדת), הגופה מושא העתירה תוחזק בידי רשויות המדינה, ולא תיקבר".</w:t>
      </w:r>
    </w:p>
    <w:p w:rsidR="00EB2082" w:rsidRDefault="00EB2082" w:rsidP="009E210F">
      <w:pPr>
        <w:pStyle w:val="Ruller40"/>
        <w:rPr>
          <w:rtl/>
        </w:rPr>
      </w:pPr>
    </w:p>
    <w:p w:rsidR="00EB2082" w:rsidRDefault="00EB2082" w:rsidP="00EB2082">
      <w:pPr>
        <w:pStyle w:val="Ruller40"/>
        <w:rPr>
          <w:rtl/>
        </w:rPr>
      </w:pPr>
      <w:r>
        <w:rPr>
          <w:rtl/>
        </w:rPr>
        <w:tab/>
        <w:t xml:space="preserve">בהתאם להחלטת השופט </w:t>
      </w:r>
      <w:r>
        <w:rPr>
          <w:rFonts w:ascii="Century" w:hAnsi="Century" w:cs="Miriam"/>
          <w:b/>
          <w:spacing w:val="0"/>
          <w:szCs w:val="24"/>
          <w:rtl/>
        </w:rPr>
        <w:t>כבוב</w:t>
      </w:r>
      <w:r>
        <w:rPr>
          <w:rtl/>
        </w:rPr>
        <w:t xml:space="preserve"> מאותו היום, הגישה המדינה הודעת עדכון ביום 5.5.2024 שבה התבקשה ארכה לשם השלמת הבחינה. ביום 19.5.2024 הוגשה הודעת עדכון ולפיה חלה התקדמות ממשית בשאלת בחינת המדיניות הרוחבית וכי:</w:t>
      </w:r>
    </w:p>
    <w:p w:rsidR="00EB2082" w:rsidRDefault="00EB2082" w:rsidP="00EB2082">
      <w:pPr>
        <w:pStyle w:val="Ruller50"/>
        <w:rPr>
          <w:rtl/>
        </w:rPr>
      </w:pPr>
    </w:p>
    <w:p w:rsidR="00EB2082" w:rsidRDefault="00EB2082" w:rsidP="00EB2082">
      <w:pPr>
        <w:pStyle w:val="Ruller50"/>
        <w:rPr>
          <w:rtl/>
        </w:rPr>
      </w:pPr>
      <w:r>
        <w:rPr>
          <w:rtl/>
        </w:rPr>
        <w:t xml:space="preserve">"בתום עבודת מטה שנערכה בידי </w:t>
      </w:r>
      <w:proofErr w:type="spellStart"/>
      <w:r>
        <w:rPr>
          <w:rtl/>
        </w:rPr>
        <w:t>המל"ל</w:t>
      </w:r>
      <w:proofErr w:type="spellEnd"/>
      <w:r>
        <w:rPr>
          <w:rtl/>
        </w:rPr>
        <w:t xml:space="preserve">, אשר כללה בקשה לקבלת עמדות מגורמי המדינה הנוגעים בדבר ובחינה של העמדות שהתקבלו, סיכם </w:t>
      </w:r>
      <w:proofErr w:type="spellStart"/>
      <w:r>
        <w:rPr>
          <w:rtl/>
        </w:rPr>
        <w:t>המל"ל</w:t>
      </w:r>
      <w:proofErr w:type="spellEnd"/>
      <w:r>
        <w:rPr>
          <w:rtl/>
        </w:rPr>
        <w:t xml:space="preserve"> המלצותיו, בין היתר, כי ככלל, </w:t>
      </w:r>
      <w:r>
        <w:rPr>
          <w:rFonts w:ascii="Century" w:hAnsi="Century" w:cs="Miriam"/>
          <w:b/>
          <w:spacing w:val="0"/>
          <w:szCs w:val="24"/>
          <w:rtl/>
        </w:rPr>
        <w:t>יש לשמר את המדיניות הנוכחית</w:t>
      </w:r>
      <w:r>
        <w:rPr>
          <w:rtl/>
        </w:rPr>
        <w:t xml:space="preserve"> </w:t>
      </w:r>
      <w:r>
        <w:rPr>
          <w:rFonts w:ascii="Century" w:hAnsi="Century" w:cs="Miriam"/>
          <w:b/>
          <w:spacing w:val="0"/>
          <w:szCs w:val="24"/>
          <w:rtl/>
        </w:rPr>
        <w:t xml:space="preserve">שלא להחזיק גופות מחבלים אזרחי ישראל לתכלית </w:t>
      </w:r>
      <w:proofErr w:type="spellStart"/>
      <w:r>
        <w:rPr>
          <w:rFonts w:ascii="Century" w:hAnsi="Century" w:cs="Miriam"/>
          <w:b/>
          <w:spacing w:val="0"/>
          <w:szCs w:val="24"/>
          <w:rtl/>
        </w:rPr>
        <w:t>שו"ן</w:t>
      </w:r>
      <w:proofErr w:type="spellEnd"/>
      <w:r>
        <w:rPr>
          <w:rtl/>
        </w:rPr>
        <w:t xml:space="preserve">, בהיעדר חוות דעת ביטחונית התומכת בכך, וזאת בכפוף וכמפורט בסיכום מסווג שמור בעניין זה, </w:t>
      </w:r>
      <w:r>
        <w:rPr>
          <w:rFonts w:ascii="Century" w:hAnsi="Century" w:cs="Miriam"/>
          <w:b/>
          <w:spacing w:val="0"/>
          <w:szCs w:val="24"/>
          <w:rtl/>
        </w:rPr>
        <w:t>ולרבות האפשרות לבחון במקרים חריגים מאד, אשר מפורטים באותו סיכום, החזקת גופות מחבלים של אזרחים ישראלים</w:t>
      </w:r>
      <w:r>
        <w:rPr>
          <w:rtl/>
        </w:rPr>
        <w:t xml:space="preserve"> [...] לצד האמור יעדכנו המשיבים לעניין קידומה של החלטה לגופו של העניין הנדון בעתירה שבכותרת, כי במקרה הקונקרטי של גופת המחבל, סבור שר הביטחון כי נכון לקיים בעניין זה דיון בוועדת השרים לענייני ביטחון לאומי (להלן: הקבינט המדיני-ביטחוני), בהקדם, וזאת נוכח נסיבותיו הייחודיות של המקרה" (הדגשות הוספו – </w:t>
      </w:r>
      <w:proofErr w:type="spellStart"/>
      <w:r>
        <w:rPr>
          <w:rtl/>
        </w:rPr>
        <w:t>י"ע</w:t>
      </w:r>
      <w:proofErr w:type="spellEnd"/>
      <w:r>
        <w:rPr>
          <w:rtl/>
        </w:rPr>
        <w:t>).</w:t>
      </w:r>
    </w:p>
    <w:p w:rsidR="00EB2082" w:rsidRDefault="00EB2082" w:rsidP="00EB2082">
      <w:pPr>
        <w:pStyle w:val="Ruller50"/>
        <w:rPr>
          <w:rtl/>
        </w:rPr>
      </w:pPr>
      <w:r>
        <w:rPr>
          <w:rtl/>
        </w:rPr>
        <w:t xml:space="preserve"> </w:t>
      </w:r>
    </w:p>
    <w:p w:rsidR="00EB2082" w:rsidRDefault="00EB2082" w:rsidP="00EB2082">
      <w:pPr>
        <w:pStyle w:val="Ruller40"/>
        <w:rPr>
          <w:rtl/>
        </w:rPr>
      </w:pPr>
      <w:r>
        <w:rPr>
          <w:rtl/>
        </w:rPr>
        <w:tab/>
        <w:t xml:space="preserve">בהודעת עדכון מיום 1.6.2024 ציינו המשיבים כי ביום 30.5.2024 פנה </w:t>
      </w:r>
      <w:proofErr w:type="spellStart"/>
      <w:r>
        <w:rPr>
          <w:rtl/>
        </w:rPr>
        <w:t>המל"ל</w:t>
      </w:r>
      <w:proofErr w:type="spellEnd"/>
      <w:r>
        <w:rPr>
          <w:rtl/>
        </w:rPr>
        <w:t xml:space="preserve"> לקבלת עמדות נוספות בנוגע למקרה הקונקרטי של גופת דקה. </w:t>
      </w:r>
    </w:p>
    <w:p w:rsidR="00EB2082" w:rsidRDefault="00EB2082" w:rsidP="00EB2082">
      <w:pPr>
        <w:pStyle w:val="Ruller40"/>
        <w:rPr>
          <w:rtl/>
        </w:rPr>
      </w:pPr>
    </w:p>
    <w:p w:rsidR="00EB2082" w:rsidRDefault="00EB2082" w:rsidP="00EB2082">
      <w:pPr>
        <w:pStyle w:val="Ruller40"/>
        <w:rPr>
          <w:rtl/>
        </w:rPr>
      </w:pPr>
      <w:r>
        <w:rPr>
          <w:rtl/>
        </w:rPr>
        <w:tab/>
        <w:t xml:space="preserve">ביום 6.6.2024 ניתנה החלטת שר הביטחון, בעקבות עבודת מטה שרוכזה בידי </w:t>
      </w:r>
      <w:proofErr w:type="spellStart"/>
      <w:r>
        <w:rPr>
          <w:rtl/>
        </w:rPr>
        <w:t>המל"ל</w:t>
      </w:r>
      <w:proofErr w:type="spellEnd"/>
      <w:r>
        <w:rPr>
          <w:rtl/>
        </w:rPr>
        <w:t xml:space="preserve">, לפיה יש לשמר את המדיניות של הימנעות מהחזקת גופות מחבלים אזרחי ישראל, אך המקרה שבפנינו מגלם נסיבות חריגות ולכן הנחה להורות על המשך עיכוב השבת הגופה. כפי שציינה המדינה, ההחלטה התקבלה בתום עבודת מטה שבמהלכה "הוצגו דעות מקצועיות שונות ואף מנוגדות מטעם גופים רלוונטיים שונים". </w:t>
      </w:r>
    </w:p>
    <w:p w:rsidR="00EB2082" w:rsidRDefault="00EB2082" w:rsidP="00EB2082">
      <w:pPr>
        <w:pStyle w:val="Ruller40"/>
        <w:rPr>
          <w:rtl/>
        </w:rPr>
      </w:pPr>
    </w:p>
    <w:p w:rsidR="00EB2082" w:rsidRDefault="00EB2082" w:rsidP="00EB2082">
      <w:pPr>
        <w:pStyle w:val="Ruller40"/>
        <w:rPr>
          <w:rtl/>
        </w:rPr>
      </w:pPr>
      <w:r>
        <w:rPr>
          <w:rtl/>
        </w:rPr>
        <w:tab/>
        <w:t xml:space="preserve">ביום 9.6.2024 </w:t>
      </w:r>
      <w:proofErr w:type="spellStart"/>
      <w:r>
        <w:rPr>
          <w:rtl/>
        </w:rPr>
        <w:t>אישרר</w:t>
      </w:r>
      <w:proofErr w:type="spellEnd"/>
      <w:r>
        <w:rPr>
          <w:rtl/>
        </w:rPr>
        <w:t xml:space="preserve"> הקבינט המדיני-בטחוני את ההחלטה להמשיך ולהחזיק בגופתו של דקה לתכלית </w:t>
      </w:r>
      <w:proofErr w:type="spellStart"/>
      <w:r>
        <w:rPr>
          <w:rtl/>
        </w:rPr>
        <w:t>שו"ן</w:t>
      </w:r>
      <w:proofErr w:type="spellEnd"/>
      <w:r>
        <w:rPr>
          <w:rtl/>
        </w:rPr>
        <w:t xml:space="preserve">. באשר לסוגיה הרוחבית הנוגעת למדיניות החזקת גופות מחבלים אזרחי ישראל, הנושא טרם מוצה, והוחלט כי עד לקיום דיון עקרוני, יעוכבו גופות נוספות של מחבלים אזרחי ישראל. </w:t>
      </w:r>
      <w:r>
        <w:rPr>
          <w:rFonts w:ascii="Century" w:hAnsi="Century"/>
          <w:rtl/>
        </w:rPr>
        <w:t xml:space="preserve">כפי שציינה המדינה בתשובתה, משלא </w:t>
      </w:r>
      <w:r>
        <w:rPr>
          <w:rFonts w:ascii="Century" w:hAnsi="Century"/>
          <w:rtl/>
        </w:rPr>
        <w:lastRenderedPageBreak/>
        <w:t>התקבלה החלטה סופית לגבי המדיניות הרוחבית, היא טרם נבחנה על ידי הייעוץ המשפטי לממשלה.</w:t>
      </w:r>
    </w:p>
    <w:p w:rsidR="00EB2082" w:rsidRDefault="00EB2082" w:rsidP="00EB2082">
      <w:pPr>
        <w:pStyle w:val="Ruller40"/>
        <w:rPr>
          <w:rtl/>
        </w:rPr>
      </w:pPr>
    </w:p>
    <w:p w:rsidR="00EB2082" w:rsidRDefault="00EB2082" w:rsidP="00EB2082">
      <w:pPr>
        <w:pStyle w:val="Ruller40"/>
        <w:rPr>
          <w:rtl/>
        </w:rPr>
      </w:pPr>
      <w:r>
        <w:rPr>
          <w:rtl/>
        </w:rPr>
        <w:t>11.</w:t>
      </w:r>
      <w:r>
        <w:rPr>
          <w:rtl/>
        </w:rPr>
        <w:tab/>
        <w:t xml:space="preserve">דיון בעתירה התקיים ביום 13.6.2024, ובתום הדיון ניתן צו על תנאי המורה כלהלן: </w:t>
      </w:r>
    </w:p>
    <w:p w:rsidR="00EB2082" w:rsidRDefault="00EB2082" w:rsidP="00EB2082">
      <w:pPr>
        <w:pStyle w:val="Ruller50"/>
        <w:rPr>
          <w:rtl/>
        </w:rPr>
      </w:pPr>
    </w:p>
    <w:p w:rsidR="00EB2082" w:rsidRDefault="00EB2082" w:rsidP="00EB2082">
      <w:pPr>
        <w:pStyle w:val="Ruller50"/>
        <w:rPr>
          <w:rtl/>
        </w:rPr>
      </w:pPr>
      <w:r>
        <w:rPr>
          <w:rtl/>
        </w:rPr>
        <w:t>"</w:t>
      </w:r>
      <w:r>
        <w:rPr>
          <w:rFonts w:ascii="Century" w:hAnsi="Century"/>
          <w:rtl/>
        </w:rPr>
        <w:t xml:space="preserve">מבלי לקבוע מסמרות ובהינתן המקרה הייחודי שלפנינו, ניתן בזה צו על תנאי המורה למשיבים לבוא </w:t>
      </w:r>
      <w:proofErr w:type="spellStart"/>
      <w:r>
        <w:rPr>
          <w:rFonts w:ascii="Century" w:hAnsi="Century"/>
          <w:rtl/>
        </w:rPr>
        <w:t>ליתן</w:t>
      </w:r>
      <w:proofErr w:type="spellEnd"/>
      <w:r>
        <w:rPr>
          <w:rFonts w:ascii="Century" w:hAnsi="Century"/>
          <w:rtl/>
        </w:rPr>
        <w:t xml:space="preserve"> טעם מדוע לא ימסרו לעותרים את גופת המנוח </w:t>
      </w:r>
      <w:proofErr w:type="spellStart"/>
      <w:r>
        <w:rPr>
          <w:rFonts w:ascii="Century" w:hAnsi="Century"/>
          <w:rtl/>
        </w:rPr>
        <w:t>ואליד</w:t>
      </w:r>
      <w:proofErr w:type="spellEnd"/>
      <w:r>
        <w:rPr>
          <w:rFonts w:ascii="Century" w:hAnsi="Century"/>
          <w:rtl/>
        </w:rPr>
        <w:t xml:space="preserve"> דקה, על מנת להביאו לקבורה </w:t>
      </w:r>
      <w:proofErr w:type="spellStart"/>
      <w:r>
        <w:rPr>
          <w:rFonts w:ascii="Century" w:hAnsi="Century"/>
          <w:rtl/>
        </w:rPr>
        <w:t>מיידית</w:t>
      </w:r>
      <w:proofErr w:type="spellEnd"/>
      <w:r>
        <w:rPr>
          <w:rFonts w:ascii="Century" w:hAnsi="Century"/>
          <w:rtl/>
        </w:rPr>
        <w:t xml:space="preserve"> בבאקה </w:t>
      </w:r>
      <w:proofErr w:type="spellStart"/>
      <w:r>
        <w:rPr>
          <w:rFonts w:ascii="Century" w:hAnsi="Century"/>
          <w:rtl/>
        </w:rPr>
        <w:t>אלגרבייה</w:t>
      </w:r>
      <w:proofErr w:type="spellEnd"/>
      <w:r>
        <w:rPr>
          <w:rFonts w:ascii="Century" w:hAnsi="Century"/>
          <w:rtl/>
        </w:rPr>
        <w:t>, לפי מצוות דתם ואמונתם של בני משפחתו".</w:t>
      </w:r>
    </w:p>
    <w:p w:rsidR="00EB2082" w:rsidRDefault="00EB2082" w:rsidP="009E210F">
      <w:pPr>
        <w:pStyle w:val="Ruller40"/>
        <w:rPr>
          <w:rtl/>
        </w:rPr>
      </w:pPr>
      <w:r>
        <w:rPr>
          <w:rtl/>
        </w:rPr>
        <w:t xml:space="preserve"> </w:t>
      </w:r>
    </w:p>
    <w:p w:rsidR="00EB2082" w:rsidRDefault="00EB2082" w:rsidP="00EB2082">
      <w:pPr>
        <w:pStyle w:val="Ruller40"/>
        <w:rPr>
          <w:rtl/>
        </w:rPr>
      </w:pPr>
      <w:r>
        <w:rPr>
          <w:rtl/>
        </w:rPr>
        <w:tab/>
        <w:t xml:space="preserve">הדיון בהתנגדות לצו על תנאי התקיים בפנינו ביום 21.8.2024. במהלך הדיון שמענו במעמד צד אחד את האלוף (במיל') ניצן אלון, מפקד מנהלת </w:t>
      </w:r>
      <w:proofErr w:type="spellStart"/>
      <w:r>
        <w:rPr>
          <w:rtl/>
        </w:rPr>
        <w:t>השו"ן</w:t>
      </w:r>
      <w:proofErr w:type="spellEnd"/>
      <w:r>
        <w:rPr>
          <w:rtl/>
        </w:rPr>
        <w:t xml:space="preserve"> בצה"ל, ולאחר מכן נשמעו טיעוני הצדדים, שאת תמציתם אביא להלן. </w:t>
      </w:r>
    </w:p>
    <w:p w:rsidR="00EB2082" w:rsidRDefault="00EB2082" w:rsidP="00EB2082">
      <w:pPr>
        <w:pStyle w:val="Ruller40"/>
        <w:rPr>
          <w:rtl/>
        </w:rPr>
      </w:pPr>
    </w:p>
    <w:p w:rsidR="00EB2082" w:rsidRDefault="00EB2082" w:rsidP="00EB2082">
      <w:pPr>
        <w:pStyle w:val="Ruller40"/>
        <w:keepNext/>
        <w:rPr>
          <w:rFonts w:ascii="Century" w:hAnsi="Century" w:cs="Miriam"/>
          <w:b/>
          <w:spacing w:val="0"/>
          <w:szCs w:val="24"/>
          <w:rtl/>
        </w:rPr>
      </w:pPr>
      <w:r>
        <w:rPr>
          <w:rFonts w:ascii="Century" w:hAnsi="Century" w:cs="Miriam"/>
          <w:b/>
          <w:spacing w:val="0"/>
          <w:szCs w:val="24"/>
          <w:rtl/>
        </w:rPr>
        <w:t xml:space="preserve">תמצית טיעוני הצדדים </w:t>
      </w:r>
    </w:p>
    <w:p w:rsidR="00EB2082" w:rsidRDefault="00EB2082" w:rsidP="00EB2082">
      <w:pPr>
        <w:pStyle w:val="Ruller40"/>
        <w:keepNext/>
        <w:rPr>
          <w:rtl/>
        </w:rPr>
      </w:pPr>
    </w:p>
    <w:p w:rsidR="00EB2082" w:rsidRDefault="00EB2082" w:rsidP="00EB2082">
      <w:pPr>
        <w:pStyle w:val="Ruller40"/>
        <w:rPr>
          <w:rFonts w:ascii="Century" w:hAnsi="Century"/>
          <w:rtl/>
        </w:rPr>
      </w:pPr>
      <w:r>
        <w:rPr>
          <w:rtl/>
        </w:rPr>
        <w:t>12.</w:t>
      </w:r>
      <w:r>
        <w:rPr>
          <w:rtl/>
        </w:rPr>
        <w:tab/>
        <w:t>העותרים טוענים כי זכות האדם והמת וזכות יקיריו לקבורה הוכרה בפסיקה כחלק מזכות האדם החוקתית לכבוד, וזו כוללת, בין היתר, "</w:t>
      </w:r>
      <w:r>
        <w:rPr>
          <w:rFonts w:ascii="Times New Roman" w:hAnsi="Times New Roman"/>
          <w:rtl/>
        </w:rPr>
        <w:t xml:space="preserve">זכות </w:t>
      </w:r>
      <w:proofErr w:type="spellStart"/>
      <w:r>
        <w:rPr>
          <w:rFonts w:ascii="Times New Roman" w:hAnsi="Times New Roman"/>
          <w:rtl/>
        </w:rPr>
        <w:t>ללווייה</w:t>
      </w:r>
      <w:proofErr w:type="spellEnd"/>
      <w:r>
        <w:rPr>
          <w:rFonts w:ascii="Times New Roman" w:hAnsi="Times New Roman"/>
          <w:rtl/>
        </w:rPr>
        <w:t xml:space="preserve"> מכובדת, ולקבורה ראויה, שיתנו ביטוי לכבודו בחייו ובמותו. הזכות להיקבר בכבוד חוסה תחת כנפיה של הזכות לכבוד האדם, המעוגנת </w:t>
      </w:r>
      <w:r>
        <w:rPr>
          <w:rFonts w:ascii="Century" w:hAnsi="Century"/>
          <w:rtl/>
        </w:rPr>
        <w:t xml:space="preserve">בחוק יסוד: כבוד האדם וחירותו" (בג"ץ 52/06 </w:t>
      </w:r>
      <w:r>
        <w:rPr>
          <w:rFonts w:ascii="Century" w:hAnsi="Century" w:cs="Miriam"/>
          <w:b/>
          <w:spacing w:val="0"/>
          <w:szCs w:val="24"/>
          <w:rtl/>
        </w:rPr>
        <w:t xml:space="preserve">חברת </w:t>
      </w:r>
      <w:proofErr w:type="spellStart"/>
      <w:r>
        <w:rPr>
          <w:rFonts w:ascii="Century" w:hAnsi="Century" w:cs="Miriam"/>
          <w:b/>
          <w:spacing w:val="0"/>
          <w:szCs w:val="24"/>
          <w:rtl/>
        </w:rPr>
        <w:t>אלאקסא</w:t>
      </w:r>
      <w:proofErr w:type="spellEnd"/>
      <w:r>
        <w:rPr>
          <w:rFonts w:ascii="Century" w:hAnsi="Century" w:cs="Miriam"/>
          <w:b/>
          <w:spacing w:val="0"/>
          <w:szCs w:val="24"/>
          <w:rtl/>
        </w:rPr>
        <w:t xml:space="preserve"> לפיתוח נכסי ההקדש המוסלמי בא"י בע"מ נ' </w:t>
      </w:r>
      <w:r>
        <w:rPr>
          <w:rFonts w:asciiTheme="majorBidi" w:hAnsiTheme="majorBidi" w:cstheme="majorBidi"/>
        </w:rPr>
        <w:t>Simon Wiesenthal Center Museum Corp.</w:t>
      </w:r>
      <w:r>
        <w:rPr>
          <w:i/>
          <w:iCs/>
          <w:rtl/>
        </w:rPr>
        <w:t xml:space="preserve"> </w:t>
      </w:r>
      <w:r>
        <w:rPr>
          <w:rFonts w:ascii="Century" w:hAnsi="Century"/>
          <w:rtl/>
        </w:rPr>
        <w:t xml:space="preserve">(29.10.2008)). מכאן טענת העותרים כי החזקת הגופה מהווה פגיעה בזכות יסוד. </w:t>
      </w:r>
    </w:p>
    <w:p w:rsidR="00EB2082" w:rsidRDefault="00EB2082" w:rsidP="00EB2082">
      <w:pPr>
        <w:pStyle w:val="Ruller40"/>
        <w:rPr>
          <w:rFonts w:ascii="Century" w:hAnsi="Century"/>
          <w:rtl/>
        </w:rPr>
      </w:pPr>
    </w:p>
    <w:p w:rsidR="00EB2082" w:rsidRDefault="00EB2082" w:rsidP="00EB2082">
      <w:pPr>
        <w:pStyle w:val="Ruller40"/>
        <w:rPr>
          <w:rFonts w:ascii="Century" w:hAnsi="Century"/>
          <w:rtl/>
        </w:rPr>
      </w:pPr>
      <w:r>
        <w:rPr>
          <w:rFonts w:ascii="Century" w:hAnsi="Century"/>
          <w:rtl/>
        </w:rPr>
        <w:tab/>
        <w:t xml:space="preserve">לטענת העותרים, ההחלטה להחזיק את גופתו של דקה נעשתה בחוסר סמכות, בהיעדר הסמכה בפקודת בתי הסוהר [נוסח חדש], התשל"ב-1971 (להלן: </w:t>
      </w:r>
      <w:r>
        <w:rPr>
          <w:rFonts w:ascii="Century" w:hAnsi="Century" w:cs="Miriam"/>
          <w:b/>
          <w:spacing w:val="0"/>
          <w:szCs w:val="24"/>
          <w:rtl/>
        </w:rPr>
        <w:t>פקודת בתי הסוהר</w:t>
      </w:r>
      <w:r>
        <w:rPr>
          <w:rFonts w:ascii="Century" w:hAnsi="Century"/>
          <w:rtl/>
        </w:rPr>
        <w:t xml:space="preserve">) או בפקודת המשטרה [נוסח חדש], התשל"א-1971 (להלן: </w:t>
      </w:r>
      <w:r>
        <w:rPr>
          <w:rFonts w:ascii="Century" w:hAnsi="Century" w:cs="Miriam"/>
          <w:b/>
          <w:spacing w:val="0"/>
          <w:szCs w:val="24"/>
          <w:rtl/>
        </w:rPr>
        <w:t>פקודת המשטרה</w:t>
      </w:r>
      <w:r>
        <w:rPr>
          <w:rFonts w:ascii="Century" w:hAnsi="Century"/>
          <w:rtl/>
        </w:rPr>
        <w:t xml:space="preserve">). נטען כי תקנה 133(3) לתקנות ההגנה אינה מהווה מקור סמכות, הן לאור לשון התקנה והקשרה, בהיותה תקנה מנדטורית שיש לפרשה בצמצום, ומאחר שבעל הסמכות הוא המפקד הצבאי בלבד, שאינו יכול להיות מפקד פיקוד העורף שסמכויותיו הוגדרו בחוק ההתגוננות האזרחית, התשי"א-1951. בנוסף, לאור תיקונים מאוחרים וספציפיים בחוק המאבק בטרור, שבהם לא נקבעה סמכות החזקת גופה, ניתן להסיק הסדר שלילי לענייננו, בוודאי לגבי אזרחים ישראלים, וכי כך משתמע גם </w:t>
      </w:r>
      <w:proofErr w:type="spellStart"/>
      <w:r>
        <w:rPr>
          <w:rFonts w:ascii="Century" w:hAnsi="Century"/>
          <w:rtl/>
        </w:rPr>
        <w:t>מ</w:t>
      </w:r>
      <w:r>
        <w:rPr>
          <w:rFonts w:ascii="Century" w:hAnsi="Century" w:cs="Miriam"/>
          <w:b/>
          <w:spacing w:val="0"/>
          <w:szCs w:val="24"/>
          <w:rtl/>
        </w:rPr>
        <w:t>דנג"ץ</w:t>
      </w:r>
      <w:proofErr w:type="spellEnd"/>
      <w:r>
        <w:rPr>
          <w:rFonts w:ascii="Century" w:hAnsi="Century"/>
          <w:rtl/>
        </w:rPr>
        <w:t xml:space="preserve"> </w:t>
      </w:r>
      <w:proofErr w:type="spellStart"/>
      <w:r>
        <w:rPr>
          <w:rFonts w:ascii="Century" w:hAnsi="Century" w:cs="Miriam"/>
          <w:b/>
          <w:spacing w:val="0"/>
          <w:szCs w:val="24"/>
          <w:rtl/>
        </w:rPr>
        <w:t>עליאן</w:t>
      </w:r>
      <w:proofErr w:type="spellEnd"/>
      <w:r>
        <w:rPr>
          <w:rFonts w:ascii="Century" w:hAnsi="Century"/>
          <w:rtl/>
        </w:rPr>
        <w:t xml:space="preserve">, שם מתייחס בית </w:t>
      </w:r>
      <w:r>
        <w:rPr>
          <w:rFonts w:ascii="Century" w:hAnsi="Century"/>
          <w:rtl/>
        </w:rPr>
        <w:lastRenderedPageBreak/>
        <w:t xml:space="preserve">המשפט לנתיני אויב. נטען כי החזקת גופת אזרח מדינת ישראל יכולה להיעשות רק מכוח הסמכה בחקיקה ראשית; לא די בהחלטות הקבינט; ובכלל, ההסדר לגבי החזקת גופות מחבלים אינו חל על אסירים שפוטים שלא נהרגו במהלך פיגוע. </w:t>
      </w:r>
    </w:p>
    <w:p w:rsidR="00EB2082" w:rsidRDefault="00EB2082" w:rsidP="00EB2082">
      <w:pPr>
        <w:pStyle w:val="Ruller40"/>
        <w:rPr>
          <w:rFonts w:ascii="Century" w:hAnsi="Century"/>
          <w:rtl/>
        </w:rPr>
      </w:pPr>
    </w:p>
    <w:p w:rsidR="00EB2082" w:rsidRDefault="00EB2082" w:rsidP="00EB2082">
      <w:pPr>
        <w:pStyle w:val="Ruller40"/>
        <w:rPr>
          <w:rFonts w:ascii="Century" w:hAnsi="Century"/>
          <w:rtl/>
        </w:rPr>
      </w:pPr>
      <w:r>
        <w:rPr>
          <w:rFonts w:ascii="Century" w:hAnsi="Century"/>
          <w:rtl/>
        </w:rPr>
        <w:tab/>
        <w:t xml:space="preserve">עוד נטען, כי זו הפעם הראשונה שהמדינה מעמידה גופתו של אזרח כגופת אויב, ובכך מציבה את העותרים במצב בלתי אפשרי, באשר בנוסף לפגיעה בכבודם היא פוגעת גם במעמדם האזרחי ובשוויון </w:t>
      </w:r>
      <w:proofErr w:type="spellStart"/>
      <w:r>
        <w:rPr>
          <w:rFonts w:ascii="Century" w:hAnsi="Century"/>
          <w:rtl/>
        </w:rPr>
        <w:t>הכל</w:t>
      </w:r>
      <w:proofErr w:type="spellEnd"/>
      <w:r>
        <w:rPr>
          <w:rFonts w:ascii="Century" w:hAnsi="Century"/>
          <w:rtl/>
        </w:rPr>
        <w:t xml:space="preserve"> בפני החוק, תוך התייחסות אליהם כאל נתיני אויב ותוך שנמוך מעמדם כאזרחים.</w:t>
      </w:r>
    </w:p>
    <w:p w:rsidR="00EB2082" w:rsidRDefault="00EB2082" w:rsidP="00EB2082">
      <w:pPr>
        <w:pStyle w:val="Ruller40"/>
        <w:rPr>
          <w:rFonts w:ascii="Century" w:hAnsi="Century"/>
          <w:rtl/>
        </w:rPr>
      </w:pPr>
    </w:p>
    <w:p w:rsidR="00EB2082" w:rsidRDefault="00EB2082" w:rsidP="00EB2082">
      <w:pPr>
        <w:pStyle w:val="Ruller40"/>
        <w:rPr>
          <w:rFonts w:ascii="Century" w:hAnsi="Century"/>
          <w:rtl/>
        </w:rPr>
      </w:pPr>
      <w:r>
        <w:rPr>
          <w:rFonts w:ascii="Century" w:hAnsi="Century"/>
          <w:rtl/>
        </w:rPr>
        <w:tab/>
        <w:t xml:space="preserve">עוד נטען כי ההחלטה שרירותית, אינה מידתית ואינה סבירה באופן קיצוני, בהיותה מנוגדת לעמדת גופים מקצועיים; מאחר שלא נשקלה העובדה כי דקה היה אמור להשתחרר כבר בשנת 2023; מאחר שגופתו הוחזקה מבלי שניתן צו כמתחייב לפי תקנה 133(3) לתקנות ההגנה עוד בטרם התקבלה החלטת הקבינט בעניינו; ומאחר שלא הוכח שקיים קשר רציונלי קונקרטי בין החזקת גופתו של דקה לקידום עסקת חילופין עם חמאס. </w:t>
      </w:r>
    </w:p>
    <w:p w:rsidR="00EB2082" w:rsidRDefault="00EB2082" w:rsidP="00EB2082">
      <w:pPr>
        <w:pStyle w:val="Ruller40"/>
        <w:rPr>
          <w:rFonts w:ascii="Century" w:hAnsi="Century"/>
          <w:rtl/>
        </w:rPr>
      </w:pPr>
      <w:r>
        <w:rPr>
          <w:rFonts w:ascii="Century" w:hAnsi="Century"/>
          <w:rtl/>
        </w:rPr>
        <w:tab/>
      </w:r>
    </w:p>
    <w:p w:rsidR="00EB2082" w:rsidRDefault="00EB2082" w:rsidP="00EB2082">
      <w:pPr>
        <w:pStyle w:val="Ruller40"/>
        <w:rPr>
          <w:rtl/>
        </w:rPr>
      </w:pPr>
      <w:r>
        <w:rPr>
          <w:rtl/>
        </w:rPr>
        <w:t xml:space="preserve"> 13.</w:t>
      </w:r>
      <w:r>
        <w:rPr>
          <w:rtl/>
        </w:rPr>
        <w:tab/>
        <w:t xml:space="preserve">המדינה טוענת כי בהיבט הסמכות, אין מניעה עקרונית להחזיק גופות מחבלים אזרחי ישראל לצרכי </w:t>
      </w:r>
      <w:proofErr w:type="spellStart"/>
      <w:r>
        <w:rPr>
          <w:rtl/>
        </w:rPr>
        <w:t>שו"ן</w:t>
      </w:r>
      <w:proofErr w:type="spellEnd"/>
      <w:r>
        <w:rPr>
          <w:rtl/>
        </w:rPr>
        <w:t xml:space="preserve">; כי אף אין מניעה עקרונית לעשות כן גם אם המחבל לא מצא את מותו תוך כדי ביצוע מעשה הטרור; כי החלטת שר הביטחון ניתנה לאחר בחינת עמדות הגורמים השונים והשיקולים הצריכים לעניין, בהסתמך על תשתית עובדתית-מקצועית ולאחר בחינה של משמעויות השינוי מהמדיניות הקיימת. המדינה ציינה כי במישור העקרוני, המדיניות הנוכחית, שעדיין עומדת בעינה, היא </w:t>
      </w:r>
      <w:r>
        <w:rPr>
          <w:rFonts w:ascii="Century" w:hAnsi="Century" w:cs="Miriam"/>
          <w:b/>
          <w:spacing w:val="0"/>
          <w:szCs w:val="24"/>
          <w:rtl/>
        </w:rPr>
        <w:t>שלא</w:t>
      </w:r>
      <w:r>
        <w:rPr>
          <w:rtl/>
        </w:rPr>
        <w:t xml:space="preserve"> להחזיק בגופות של מחבלים אזרחי ישראל (לדוגמה, בג"ץ 5887/17 </w:t>
      </w:r>
      <w:proofErr w:type="spellStart"/>
      <w:r>
        <w:rPr>
          <w:rFonts w:ascii="Century" w:hAnsi="Century" w:cs="Miriam"/>
          <w:b/>
          <w:spacing w:val="0"/>
          <w:szCs w:val="24"/>
          <w:rtl/>
        </w:rPr>
        <w:t>ג'בארין</w:t>
      </w:r>
      <w:proofErr w:type="spellEnd"/>
      <w:r>
        <w:rPr>
          <w:rFonts w:ascii="Century" w:hAnsi="Century" w:cs="Miriam"/>
          <w:b/>
          <w:spacing w:val="0"/>
          <w:szCs w:val="24"/>
          <w:rtl/>
        </w:rPr>
        <w:t xml:space="preserve"> נ' משטרת ישראל</w:t>
      </w:r>
      <w:r>
        <w:rPr>
          <w:rtl/>
        </w:rPr>
        <w:t xml:space="preserve"> (25.7.2017) (להלן: </w:t>
      </w:r>
      <w:r>
        <w:rPr>
          <w:rFonts w:ascii="Century" w:hAnsi="Century"/>
          <w:rtl/>
        </w:rPr>
        <w:t>עניין</w:t>
      </w:r>
      <w:r>
        <w:rPr>
          <w:rFonts w:ascii="Century" w:hAnsi="Century" w:cs="Miriam"/>
          <w:b/>
          <w:spacing w:val="0"/>
          <w:szCs w:val="24"/>
          <w:rtl/>
        </w:rPr>
        <w:t xml:space="preserve"> </w:t>
      </w:r>
      <w:proofErr w:type="spellStart"/>
      <w:r>
        <w:rPr>
          <w:rFonts w:ascii="Century" w:hAnsi="Century" w:cs="Miriam"/>
          <w:b/>
          <w:spacing w:val="0"/>
          <w:szCs w:val="24"/>
          <w:rtl/>
        </w:rPr>
        <w:t>ג'בארין</w:t>
      </w:r>
      <w:proofErr w:type="spellEnd"/>
      <w:r>
        <w:rPr>
          <w:rtl/>
        </w:rPr>
        <w:t xml:space="preserve">); בג"ץ 1135/20 </w:t>
      </w:r>
      <w:r>
        <w:rPr>
          <w:rFonts w:ascii="Century" w:hAnsi="Century" w:cs="Miriam"/>
          <w:b/>
          <w:spacing w:val="0"/>
          <w:szCs w:val="24"/>
          <w:rtl/>
        </w:rPr>
        <w:t>שאדי נ' משטרת ישראל</w:t>
      </w:r>
      <w:r>
        <w:rPr>
          <w:rtl/>
        </w:rPr>
        <w:t xml:space="preserve"> (13.2.2020)). כך נעשה גם לאחר שפרצה מלחמת "חרבות ברזל" (בג"ץ 2833/24 </w:t>
      </w:r>
      <w:r>
        <w:rPr>
          <w:rFonts w:ascii="Century" w:hAnsi="Century" w:cs="Miriam"/>
          <w:b/>
          <w:spacing w:val="0"/>
          <w:szCs w:val="24"/>
          <w:rtl/>
        </w:rPr>
        <w:t xml:space="preserve">אבו </w:t>
      </w:r>
      <w:proofErr w:type="spellStart"/>
      <w:r>
        <w:rPr>
          <w:rFonts w:ascii="Century" w:hAnsi="Century" w:cs="Miriam"/>
          <w:b/>
          <w:spacing w:val="0"/>
          <w:szCs w:val="24"/>
          <w:rtl/>
        </w:rPr>
        <w:t>אלהיג'א</w:t>
      </w:r>
      <w:proofErr w:type="spellEnd"/>
      <w:r>
        <w:rPr>
          <w:rFonts w:ascii="Century" w:hAnsi="Century" w:cs="Miriam"/>
          <w:b/>
          <w:spacing w:val="0"/>
          <w:szCs w:val="24"/>
          <w:rtl/>
        </w:rPr>
        <w:t xml:space="preserve"> נ' היועצת המשפטית לממשלה</w:t>
      </w:r>
      <w:r>
        <w:rPr>
          <w:rtl/>
        </w:rPr>
        <w:t xml:space="preserve"> (15.5.2024); בג"ץ 3528/24 </w:t>
      </w:r>
      <w:r>
        <w:rPr>
          <w:rFonts w:ascii="Century" w:hAnsi="Century" w:cs="Miriam"/>
          <w:b/>
          <w:spacing w:val="0"/>
          <w:szCs w:val="24"/>
          <w:rtl/>
        </w:rPr>
        <w:t>שביטה נ' מפכ"ל המשטרה</w:t>
      </w:r>
      <w:r>
        <w:rPr>
          <w:rtl/>
        </w:rPr>
        <w:t xml:space="preserve"> (16.5.2024)). </w:t>
      </w:r>
    </w:p>
    <w:p w:rsidR="00EB2082" w:rsidRDefault="00EB2082" w:rsidP="00EB2082">
      <w:pPr>
        <w:pStyle w:val="Ruller40"/>
        <w:rPr>
          <w:rtl/>
        </w:rPr>
      </w:pPr>
    </w:p>
    <w:p w:rsidR="00EB2082" w:rsidRDefault="00EB2082" w:rsidP="00EB2082">
      <w:pPr>
        <w:pStyle w:val="Ruller40"/>
        <w:rPr>
          <w:rtl/>
        </w:rPr>
      </w:pPr>
      <w:r>
        <w:rPr>
          <w:rtl/>
        </w:rPr>
        <w:tab/>
        <w:t xml:space="preserve">נטען כי </w:t>
      </w:r>
      <w:proofErr w:type="spellStart"/>
      <w:r>
        <w:rPr>
          <w:rtl/>
        </w:rPr>
        <w:t>המל"ל</w:t>
      </w:r>
      <w:proofErr w:type="spellEnd"/>
      <w:r>
        <w:rPr>
          <w:rtl/>
        </w:rPr>
        <w:t xml:space="preserve"> אמנם המליץ לשמר את המדיניות הנוכחית </w:t>
      </w:r>
      <w:r>
        <w:rPr>
          <w:rFonts w:ascii="Century" w:hAnsi="Century" w:cs="Miriam"/>
          <w:b/>
          <w:spacing w:val="0"/>
          <w:szCs w:val="24"/>
          <w:rtl/>
        </w:rPr>
        <w:t>שלא</w:t>
      </w:r>
      <w:r>
        <w:rPr>
          <w:rtl/>
        </w:rPr>
        <w:t xml:space="preserve"> להחזיק גופות מחבלים אזרחי ישראל לתכלית </w:t>
      </w:r>
      <w:proofErr w:type="spellStart"/>
      <w:r>
        <w:rPr>
          <w:rtl/>
        </w:rPr>
        <w:t>שו"ן</w:t>
      </w:r>
      <w:proofErr w:type="spellEnd"/>
      <w:r>
        <w:rPr>
          <w:rtl/>
        </w:rPr>
        <w:t xml:space="preserve">, בשל הנגזרות החברתיות-ציבוריות של שינוי המדיניות, ברם, המקרה שלפנינו מגלם נסיבות חריגות המצדיקות את החזקת הגופה. נטען כי ענייננו אפוא במישור הפעלת שיקול הדעת ובהחלטה שניתנה על יסוד חוות דעת מקצועית של מפקד מנהלת </w:t>
      </w:r>
      <w:proofErr w:type="spellStart"/>
      <w:r>
        <w:rPr>
          <w:rtl/>
        </w:rPr>
        <w:t>השו"ן</w:t>
      </w:r>
      <w:proofErr w:type="spellEnd"/>
      <w:r>
        <w:rPr>
          <w:rtl/>
        </w:rPr>
        <w:t xml:space="preserve"> בצה"ל לגבי הערך </w:t>
      </w:r>
      <w:proofErr w:type="spellStart"/>
      <w:r>
        <w:rPr>
          <w:rtl/>
        </w:rPr>
        <w:t>השו"ני</w:t>
      </w:r>
      <w:proofErr w:type="spellEnd"/>
      <w:r>
        <w:rPr>
          <w:rtl/>
        </w:rPr>
        <w:t xml:space="preserve"> בהחזקת הגופה. עוד נטען </w:t>
      </w:r>
      <w:r>
        <w:rPr>
          <w:rtl/>
        </w:rPr>
        <w:lastRenderedPageBreak/>
        <w:t>כי גופתו של דקה עונה לתנאי שעניינו גופות בעלות "הקשר מיוחד" כאמור בהחלטת הקבינט משנת 2017, בהיותה גופה בעלת "סמליות" בעיני חמאס, הגם שדקה לא שויך לארגון חמאס. בשורה התחתונה נטען כי מדובר בהחלטה סבירה ומידתית, שלקחה בחשבון גם את הפגיעה בכבוד המת ומשפחתו.</w:t>
      </w:r>
    </w:p>
    <w:p w:rsidR="00EB2082" w:rsidRDefault="00EB2082" w:rsidP="00EB2082">
      <w:pPr>
        <w:pStyle w:val="Ruller40"/>
        <w:rPr>
          <w:rtl/>
        </w:rPr>
      </w:pPr>
    </w:p>
    <w:p w:rsidR="00EB2082" w:rsidRDefault="00EB2082" w:rsidP="00EB2082">
      <w:pPr>
        <w:pStyle w:val="Ruller40"/>
        <w:keepNext/>
        <w:rPr>
          <w:rFonts w:ascii="Century" w:hAnsi="Century" w:cs="Miriam"/>
          <w:b/>
          <w:spacing w:val="0"/>
          <w:szCs w:val="24"/>
          <w:rtl/>
        </w:rPr>
      </w:pPr>
      <w:r>
        <w:rPr>
          <w:rFonts w:ascii="Century" w:hAnsi="Century" w:cs="Miriam"/>
          <w:b/>
          <w:spacing w:val="0"/>
          <w:szCs w:val="24"/>
          <w:rtl/>
        </w:rPr>
        <w:t>דיון והכרעה</w:t>
      </w:r>
    </w:p>
    <w:p w:rsidR="00EB2082" w:rsidRDefault="00EB2082" w:rsidP="00EB2082">
      <w:pPr>
        <w:pStyle w:val="Ruller40"/>
        <w:keepNext/>
        <w:rPr>
          <w:rtl/>
        </w:rPr>
      </w:pPr>
    </w:p>
    <w:p w:rsidR="00EB2082" w:rsidRDefault="00EB2082" w:rsidP="00EB2082">
      <w:pPr>
        <w:pStyle w:val="Ruller40"/>
        <w:rPr>
          <w:rtl/>
        </w:rPr>
      </w:pPr>
      <w:r>
        <w:rPr>
          <w:rtl/>
        </w:rPr>
        <w:t>14.</w:t>
      </w:r>
      <w:r>
        <w:rPr>
          <w:rtl/>
        </w:rPr>
        <w:tab/>
        <w:t xml:space="preserve">בטרם ניגש לעיצומה של המחלוקת הקונקרטית שהונחה לפנינו, יכול הקורא לשאול מדוע החזקת גופות של מחבלים כ"קלפי מיקוח" לצורך משא ומתן עתידי מעוררת דילמה כלשהי? </w:t>
      </w:r>
    </w:p>
    <w:p w:rsidR="00EB2082" w:rsidRDefault="00EB2082" w:rsidP="00EB2082">
      <w:pPr>
        <w:pStyle w:val="Ruller40"/>
        <w:rPr>
          <w:rtl/>
        </w:rPr>
      </w:pPr>
    </w:p>
    <w:p w:rsidR="00EB2082" w:rsidRDefault="00EB2082" w:rsidP="00EB2082">
      <w:pPr>
        <w:pStyle w:val="Ruller40"/>
        <w:rPr>
          <w:rtl/>
        </w:rPr>
      </w:pPr>
      <w:r>
        <w:rPr>
          <w:rtl/>
        </w:rPr>
        <w:tab/>
        <w:t xml:space="preserve">תשובה לכך אנו מוצאים בפסק דינו של השופט </w:t>
      </w:r>
      <w:proofErr w:type="spellStart"/>
      <w:r>
        <w:rPr>
          <w:rFonts w:ascii="Century" w:hAnsi="Century" w:cs="Miriam"/>
          <w:b/>
          <w:spacing w:val="0"/>
          <w:szCs w:val="24"/>
          <w:rtl/>
        </w:rPr>
        <w:t>דנציגר</w:t>
      </w:r>
      <w:proofErr w:type="spellEnd"/>
      <w:r>
        <w:rPr>
          <w:rtl/>
        </w:rPr>
        <w:t xml:space="preserve"> בעניין </w:t>
      </w:r>
      <w:proofErr w:type="spellStart"/>
      <w:r>
        <w:rPr>
          <w:rFonts w:ascii="Century" w:hAnsi="Century" w:cs="Miriam"/>
          <w:b/>
          <w:spacing w:val="0"/>
          <w:szCs w:val="24"/>
          <w:rtl/>
        </w:rPr>
        <w:t>עליאן</w:t>
      </w:r>
      <w:proofErr w:type="spellEnd"/>
      <w:r>
        <w:rPr>
          <w:rtl/>
        </w:rPr>
        <w:t>:</w:t>
      </w:r>
    </w:p>
    <w:p w:rsidR="00EB2082" w:rsidRDefault="00EB2082" w:rsidP="00EB2082">
      <w:pPr>
        <w:pStyle w:val="Ruller50"/>
        <w:rPr>
          <w:rFonts w:ascii="Century" w:hAnsi="Century"/>
          <w:rtl/>
        </w:rPr>
      </w:pPr>
    </w:p>
    <w:p w:rsidR="00EB2082" w:rsidRDefault="00EB2082" w:rsidP="00EB2082">
      <w:pPr>
        <w:pStyle w:val="Ruller50"/>
        <w:rPr>
          <w:rFonts w:ascii="Century" w:hAnsi="Century"/>
          <w:rtl/>
        </w:rPr>
      </w:pPr>
      <w:r>
        <w:rPr>
          <w:rFonts w:ascii="Century" w:hAnsi="Century"/>
          <w:rtl/>
        </w:rPr>
        <w:t xml:space="preserve">"לא אחת נפסק כי מן הזכות לכבוד האדם נגזרות גם זכויות המת ובני משפחתו להביא את המת לקבורה מכובדת ונאותה, שתאפשר התייחדות וזיכרון. </w:t>
      </w:r>
      <w:r>
        <w:rPr>
          <w:rFonts w:ascii="Century" w:hAnsi="Century" w:cs="Miriam"/>
          <w:b/>
          <w:spacing w:val="0"/>
          <w:szCs w:val="24"/>
          <w:rtl/>
        </w:rPr>
        <w:t>זכויות אלה הוכרו בפסיקה ללא קשר לשאלת זהותם של המתים, גם כאשר הם היו מחבלים וחיילי אויב</w:t>
      </w:r>
      <w:r>
        <w:rPr>
          <w:rFonts w:ascii="Century" w:hAnsi="Century"/>
          <w:rtl/>
        </w:rPr>
        <w:t xml:space="preserve">. זאת, על רקע המוסכמה הכללית שלפיה זכויות אדם נתונות לכל בני האדם, באשר הם, גם אם הם עונים להגדרת 'אויב'. </w:t>
      </w:r>
      <w:r>
        <w:rPr>
          <w:rFonts w:ascii="Century" w:hAnsi="Century" w:cs="Miriam"/>
          <w:b/>
          <w:spacing w:val="0"/>
          <w:szCs w:val="24"/>
          <w:rtl/>
        </w:rPr>
        <w:t>אכן, מוסכמה היא לצורך ענייננו, שגם לנתעב שברוצחים יש זכות להיקבר, ולבני משפחתו יש זכות לקברו</w:t>
      </w:r>
      <w:r>
        <w:rPr>
          <w:rFonts w:ascii="Century" w:hAnsi="Century"/>
          <w:rtl/>
        </w:rPr>
        <w:t xml:space="preserve">. מוסכמה זו אמנם עשויה לעורר תחושות קשות, בעיקר בקרב מי שנפגעו ממעשיו של המת, אך היא מתחייבת במשטר המכבד זכויות אדם, כפי שהוסבר פעמים רבות בפסיקה" (פסקה 15, הדגשות הוספו – </w:t>
      </w:r>
      <w:proofErr w:type="spellStart"/>
      <w:r>
        <w:rPr>
          <w:rFonts w:ascii="Century" w:hAnsi="Century"/>
          <w:rtl/>
        </w:rPr>
        <w:t>י"ע</w:t>
      </w:r>
      <w:proofErr w:type="spellEnd"/>
      <w:r>
        <w:rPr>
          <w:rFonts w:ascii="Century" w:hAnsi="Century"/>
          <w:rtl/>
        </w:rPr>
        <w:t>).</w:t>
      </w:r>
    </w:p>
    <w:p w:rsidR="00EB2082" w:rsidRDefault="00EB2082" w:rsidP="00EB2082">
      <w:pPr>
        <w:pStyle w:val="Ruller50"/>
        <w:rPr>
          <w:rFonts w:ascii="Century" w:hAnsi="Century"/>
          <w:rtl/>
        </w:rPr>
      </w:pPr>
      <w:r>
        <w:rPr>
          <w:rFonts w:ascii="Century" w:hAnsi="Century"/>
          <w:rtl/>
        </w:rPr>
        <w:t xml:space="preserve"> </w:t>
      </w:r>
    </w:p>
    <w:p w:rsidR="00EB2082" w:rsidRDefault="00EB2082" w:rsidP="00EB2082">
      <w:pPr>
        <w:pStyle w:val="Ruller40"/>
        <w:rPr>
          <w:rtl/>
        </w:rPr>
      </w:pPr>
      <w:r>
        <w:rPr>
          <w:rtl/>
        </w:rPr>
        <w:tab/>
        <w:t xml:space="preserve">עמד על כך גם השופט </w:t>
      </w:r>
      <w:r>
        <w:rPr>
          <w:rFonts w:ascii="Century" w:hAnsi="Century" w:cs="Miriam"/>
          <w:b/>
          <w:spacing w:val="0"/>
          <w:szCs w:val="24"/>
          <w:rtl/>
        </w:rPr>
        <w:t>הנדל</w:t>
      </w:r>
      <w:r>
        <w:rPr>
          <w:rtl/>
        </w:rPr>
        <w:t xml:space="preserve"> בעניין </w:t>
      </w:r>
      <w:proofErr w:type="spellStart"/>
      <w:r>
        <w:rPr>
          <w:rFonts w:ascii="Century" w:hAnsi="Century" w:cs="Miriam"/>
          <w:b/>
          <w:spacing w:val="0"/>
          <w:szCs w:val="24"/>
          <w:rtl/>
        </w:rPr>
        <w:t>עליאן</w:t>
      </w:r>
      <w:proofErr w:type="spellEnd"/>
      <w:r>
        <w:rPr>
          <w:rtl/>
        </w:rPr>
        <w:t xml:space="preserve">: </w:t>
      </w:r>
    </w:p>
    <w:p w:rsidR="00EB2082" w:rsidRDefault="00EB2082" w:rsidP="00EB2082">
      <w:pPr>
        <w:pStyle w:val="Ruller50"/>
        <w:rPr>
          <w:rtl/>
        </w:rPr>
      </w:pPr>
    </w:p>
    <w:p w:rsidR="00EB2082" w:rsidRDefault="00EB2082" w:rsidP="00EB2082">
      <w:pPr>
        <w:pStyle w:val="Ruller50"/>
        <w:rPr>
          <w:rtl/>
        </w:rPr>
      </w:pPr>
      <w:r>
        <w:rPr>
          <w:rFonts w:ascii="Century" w:hAnsi="Century"/>
          <w:sz w:val="28"/>
          <w:rtl/>
        </w:rPr>
        <w:t>"כשלעצמי, סבורני ש'כבוד המת', בתור שכזה, עומד על רגליו הוא, ומצוי במעמד נורמטיבי גבוה יותר מזה של 'כבוד משפחת המת' [..] היקפה של זכות המת ומשפחתו לכבוד – רחב [...] נגזרת ממנה חובה למסור את גופת המת לקרוביו לצורך קבורתה</w:t>
      </w:r>
      <w:r>
        <w:rPr>
          <w:sz w:val="28"/>
          <w:rtl/>
        </w:rPr>
        <w:t xml:space="preserve"> [...] </w:t>
      </w:r>
      <w:r>
        <w:rPr>
          <w:rtl/>
        </w:rPr>
        <w:t xml:space="preserve">אכן, בניתוח של </w:t>
      </w:r>
      <w:r>
        <w:rPr>
          <w:rFonts w:ascii="Century" w:hAnsi="Century"/>
          <w:rtl/>
        </w:rPr>
        <w:t>תקנה 133(3)</w:t>
      </w:r>
      <w:r>
        <w:rPr>
          <w:rtl/>
        </w:rPr>
        <w:t xml:space="preserve"> </w:t>
      </w:r>
      <w:r>
        <w:rPr>
          <w:rFonts w:ascii="Century" w:hAnsi="Century" w:cs="Miriam"/>
          <w:b/>
          <w:spacing w:val="0"/>
          <w:szCs w:val="24"/>
          <w:rtl/>
        </w:rPr>
        <w:t>אין להתעלם מכך כי מדובר בכבוד המת גם ביחס לקבורת מחבלים שביצעו מסעות הרג חמורים</w:t>
      </w:r>
      <w:r>
        <w:rPr>
          <w:rtl/>
        </w:rPr>
        <w:t xml:space="preserve">. ברם, בפרספקטיבה של כבוד האדם, וברוח עמדת המשפט העברי – כפי שתוצג מיד – הבאת המתים לקבורה ראויה מבטאת את ערכיה של מדינת ישראל כמדינה יהודית ודמוקרטית. </w:t>
      </w:r>
      <w:r>
        <w:rPr>
          <w:rFonts w:ascii="Century" w:hAnsi="Century" w:cs="Miriam"/>
          <w:b/>
          <w:spacing w:val="0"/>
          <w:szCs w:val="24"/>
          <w:rtl/>
        </w:rPr>
        <w:t>ערכים אלה אינם נסוגים בשל מעשיו השפלים של המת, ואינם מבחינים בין אויב לאוהב, או בין יהודי לנוכרי</w:t>
      </w:r>
      <w:r>
        <w:rPr>
          <w:rtl/>
        </w:rPr>
        <w:t xml:space="preserve">" (פסקאות 14-13, הדגשות הוספו – </w:t>
      </w:r>
      <w:proofErr w:type="spellStart"/>
      <w:r>
        <w:rPr>
          <w:rtl/>
        </w:rPr>
        <w:t>י"ע</w:t>
      </w:r>
      <w:proofErr w:type="spellEnd"/>
      <w:r>
        <w:rPr>
          <w:rtl/>
        </w:rPr>
        <w:t>).</w:t>
      </w:r>
    </w:p>
    <w:p w:rsidR="00EB2082" w:rsidRDefault="00EB2082" w:rsidP="00EB2082">
      <w:pPr>
        <w:pStyle w:val="Ruller50"/>
        <w:rPr>
          <w:rtl/>
        </w:rPr>
      </w:pPr>
    </w:p>
    <w:p w:rsidR="00EB2082" w:rsidRDefault="00EB2082" w:rsidP="00EB2082">
      <w:pPr>
        <w:pStyle w:val="Ruller50"/>
        <w:rPr>
          <w:rtl/>
        </w:rPr>
      </w:pPr>
    </w:p>
    <w:p w:rsidR="00EB2082" w:rsidRDefault="00EB2082" w:rsidP="00EB2082">
      <w:pPr>
        <w:pStyle w:val="Ruller40"/>
        <w:rPr>
          <w:rtl/>
        </w:rPr>
      </w:pPr>
      <w:r>
        <w:rPr>
          <w:rtl/>
        </w:rPr>
        <w:tab/>
        <w:t>ובקיצור, החזקת גופה על ידי המפקד הצבאי, חלף מסירתה למשפחה, פוגעת בזכות המת לכבוד ובזכות קרוביו המבקשים להביאו לקבורה ראויה. גם המדינה אינה חולקת על כך ש"מניעת השבת גופות מחבלים לקבורה בידי משפחותיהם כרוכה בפגיעה מסוימת בכבוד המת ומשפחתו" (</w:t>
      </w:r>
      <w:proofErr w:type="spellStart"/>
      <w:r>
        <w:rPr>
          <w:rFonts w:ascii="Century" w:hAnsi="Century" w:cs="Miriam"/>
          <w:b/>
          <w:spacing w:val="0"/>
          <w:szCs w:val="24"/>
          <w:rtl/>
        </w:rPr>
        <w:t>דנג"ץ</w:t>
      </w:r>
      <w:proofErr w:type="spellEnd"/>
      <w:r>
        <w:rPr>
          <w:rFonts w:ascii="Century" w:hAnsi="Century" w:cs="Miriam"/>
          <w:b/>
          <w:spacing w:val="0"/>
          <w:szCs w:val="24"/>
          <w:rtl/>
        </w:rPr>
        <w:t xml:space="preserve"> </w:t>
      </w:r>
      <w:proofErr w:type="spellStart"/>
      <w:r>
        <w:rPr>
          <w:rFonts w:ascii="Century" w:hAnsi="Century" w:cs="Miriam"/>
          <w:b/>
          <w:spacing w:val="0"/>
          <w:szCs w:val="24"/>
          <w:rtl/>
        </w:rPr>
        <w:t>עליאן</w:t>
      </w:r>
      <w:proofErr w:type="spellEnd"/>
      <w:r>
        <w:rPr>
          <w:rFonts w:ascii="Century" w:hAnsi="Century"/>
          <w:rtl/>
        </w:rPr>
        <w:t>,</w:t>
      </w:r>
      <w:r>
        <w:rPr>
          <w:rtl/>
        </w:rPr>
        <w:t xml:space="preserve"> פסקה 13 לפסק דינה של הנשיאה </w:t>
      </w:r>
      <w:r>
        <w:rPr>
          <w:rFonts w:ascii="Century" w:hAnsi="Century" w:cs="Miriam"/>
          <w:b/>
          <w:spacing w:val="0"/>
          <w:szCs w:val="24"/>
          <w:rtl/>
        </w:rPr>
        <w:t>חיות</w:t>
      </w:r>
      <w:r>
        <w:rPr>
          <w:rtl/>
        </w:rPr>
        <w:t xml:space="preserve">). </w:t>
      </w:r>
    </w:p>
    <w:p w:rsidR="00EB2082" w:rsidRDefault="00EB2082" w:rsidP="00EB2082">
      <w:pPr>
        <w:pStyle w:val="Ruller40"/>
        <w:rPr>
          <w:rFonts w:ascii="Century" w:hAnsi="Century"/>
          <w:rtl/>
        </w:rPr>
      </w:pPr>
    </w:p>
    <w:p w:rsidR="00EB2082" w:rsidRDefault="00EB2082" w:rsidP="00AF72DE">
      <w:pPr>
        <w:pStyle w:val="Ruller40"/>
        <w:rPr>
          <w:rtl/>
        </w:rPr>
      </w:pPr>
      <w:r>
        <w:rPr>
          <w:rFonts w:ascii="Century" w:hAnsi="Century"/>
          <w:rtl/>
        </w:rPr>
        <w:t>15.</w:t>
      </w:r>
      <w:r>
        <w:rPr>
          <w:rFonts w:ascii="Century" w:hAnsi="Century"/>
          <w:rtl/>
        </w:rPr>
        <w:tab/>
        <w:t xml:space="preserve">לצד הערך של כבוד המת וכבוד משפחתו, ובמקרה דנן, אל מול ערכים אלה, ניצבת "תכלית כללית נוספת הנגזרת מערכי היסוד של המדינה היא ערך 'פדיון השבויים'" (עניין </w:t>
      </w:r>
      <w:proofErr w:type="spellStart"/>
      <w:r>
        <w:rPr>
          <w:rFonts w:ascii="Century" w:hAnsi="Century" w:cs="Miriam"/>
          <w:b/>
          <w:spacing w:val="0"/>
          <w:szCs w:val="24"/>
          <w:rtl/>
        </w:rPr>
        <w:t>עליאן</w:t>
      </w:r>
      <w:proofErr w:type="spellEnd"/>
      <w:r>
        <w:rPr>
          <w:rFonts w:ascii="Century" w:hAnsi="Century"/>
          <w:rtl/>
        </w:rPr>
        <w:t xml:space="preserve">, פסקה 15 לפסק דינו של השופט </w:t>
      </w:r>
      <w:r>
        <w:rPr>
          <w:rFonts w:ascii="Century" w:hAnsi="Century" w:cs="Miriam"/>
          <w:b/>
          <w:spacing w:val="0"/>
          <w:szCs w:val="24"/>
          <w:rtl/>
        </w:rPr>
        <w:t>הנדל</w:t>
      </w:r>
      <w:r>
        <w:rPr>
          <w:rFonts w:ascii="Century" w:hAnsi="Century"/>
          <w:rtl/>
        </w:rPr>
        <w:t xml:space="preserve">). ערך זה </w:t>
      </w:r>
      <w:r>
        <w:rPr>
          <w:sz w:val="28"/>
          <w:rtl/>
        </w:rPr>
        <w:t xml:space="preserve">כולל גם הבאה לקבורה של מי שגופתו מוחזקת בידי האויב, </w:t>
      </w:r>
      <w:r>
        <w:rPr>
          <w:rFonts w:ascii="Century" w:hAnsi="Century"/>
          <w:rtl/>
        </w:rPr>
        <w:t xml:space="preserve">והוא חלק מהאתוס הישראלי, בבחינת </w:t>
      </w:r>
      <w:r>
        <w:rPr>
          <w:rtl/>
        </w:rPr>
        <w:t>"מצווה נעלה</w:t>
      </w:r>
      <w:r>
        <w:rPr>
          <w:position w:val="4"/>
          <w:rtl/>
        </w:rPr>
        <w:t>-</w:t>
      </w:r>
      <w:r>
        <w:rPr>
          <w:rtl/>
        </w:rPr>
        <w:t>מכל</w:t>
      </w:r>
      <w:r>
        <w:rPr>
          <w:position w:val="4"/>
          <w:rtl/>
        </w:rPr>
        <w:t>-</w:t>
      </w:r>
      <w:r>
        <w:rPr>
          <w:rtl/>
        </w:rPr>
        <w:t xml:space="preserve">נעלה" (דברי השופט </w:t>
      </w:r>
      <w:r>
        <w:rPr>
          <w:rFonts w:ascii="Century" w:hAnsi="Century" w:cs="Miriam"/>
          <w:b/>
          <w:spacing w:val="0"/>
          <w:szCs w:val="24"/>
          <w:rtl/>
        </w:rPr>
        <w:t>מ' חשין</w:t>
      </w:r>
      <w:r>
        <w:rPr>
          <w:rtl/>
        </w:rPr>
        <w:t xml:space="preserve"> בהיותו בדעת מיעוט בפרשת "קלפי המיקוח" – </w:t>
      </w:r>
      <w:proofErr w:type="spellStart"/>
      <w:r>
        <w:rPr>
          <w:rFonts w:ascii="Century" w:hAnsi="Century"/>
          <w:rtl/>
        </w:rPr>
        <w:t>דנ"פ</w:t>
      </w:r>
      <w:proofErr w:type="spellEnd"/>
      <w:r>
        <w:rPr>
          <w:rFonts w:ascii="Century" w:hAnsi="Century"/>
          <w:rtl/>
        </w:rPr>
        <w:t xml:space="preserve"> 7048/97 </w:t>
      </w:r>
      <w:r>
        <w:rPr>
          <w:rFonts w:ascii="Century" w:hAnsi="Century" w:cs="Miriam"/>
          <w:b/>
          <w:spacing w:val="0"/>
          <w:szCs w:val="24"/>
          <w:rtl/>
        </w:rPr>
        <w:t>פלונים נ' שר הביטחון</w:t>
      </w:r>
      <w:r>
        <w:rPr>
          <w:rFonts w:ascii="Century" w:hAnsi="Century"/>
          <w:rtl/>
        </w:rPr>
        <w:t>, פ"ד נד(1) 721, 747 (2000))</w:t>
      </w:r>
      <w:r>
        <w:rPr>
          <w:rFonts w:ascii="Times New Roman" w:hAnsi="Times New Roman" w:cs="Times New Roman"/>
          <w:spacing w:val="0"/>
          <w:sz w:val="24"/>
          <w:szCs w:val="24"/>
          <w:rtl/>
        </w:rPr>
        <w:t xml:space="preserve">. </w:t>
      </w:r>
      <w:r>
        <w:rPr>
          <w:rFonts w:ascii="Century" w:hAnsi="Century"/>
          <w:rtl/>
        </w:rPr>
        <w:t xml:space="preserve">גם במקורותינו אנו מוצאים כי </w:t>
      </w:r>
      <w:r>
        <w:rPr>
          <w:rFonts w:ascii="Century" w:hAnsi="Century" w:cs="Miriam"/>
          <w:b/>
          <w:spacing w:val="0"/>
          <w:szCs w:val="24"/>
          <w:rtl/>
        </w:rPr>
        <w:t>"</w:t>
      </w:r>
      <w:r>
        <w:rPr>
          <w:rFonts w:ascii="Century" w:hAnsi="Century"/>
          <w:rtl/>
        </w:rPr>
        <w:t>אין לך מצווה גדולה כפדיון שבויים, שהשבוי הוא בכלל הרעבים והצמאים והערומים, ועומד בסכנת נפשות</w:t>
      </w:r>
      <w:r>
        <w:rPr>
          <w:rFonts w:ascii="Century" w:hAnsi="Century" w:cs="Miriam"/>
          <w:b/>
          <w:spacing w:val="0"/>
          <w:szCs w:val="24"/>
          <w:rtl/>
        </w:rPr>
        <w:t xml:space="preserve">" </w:t>
      </w:r>
      <w:r>
        <w:rPr>
          <w:rFonts w:ascii="Century" w:hAnsi="Century"/>
          <w:rtl/>
        </w:rPr>
        <w:t>(</w:t>
      </w:r>
      <w:r>
        <w:rPr>
          <w:rFonts w:ascii="Century" w:hAnsi="Century" w:cs="Miriam"/>
          <w:b/>
          <w:spacing w:val="0"/>
          <w:szCs w:val="24"/>
          <w:rtl/>
        </w:rPr>
        <w:t>רמב"ם משנה תורה</w:t>
      </w:r>
      <w:r>
        <w:rPr>
          <w:rtl/>
        </w:rPr>
        <w:t>, מתנות עניים, פרק ח, הלכה י) וכי</w:t>
      </w:r>
      <w:r>
        <w:rPr>
          <w:rFonts w:ascii="Century" w:hAnsi="Century"/>
          <w:rtl/>
        </w:rPr>
        <w:t xml:space="preserve"> "</w:t>
      </w:r>
      <w:r>
        <w:rPr>
          <w:rtl/>
        </w:rPr>
        <w:t xml:space="preserve">כל רגע שמאחר לפדות השבויים, </w:t>
      </w:r>
      <w:proofErr w:type="spellStart"/>
      <w:r>
        <w:rPr>
          <w:rtl/>
        </w:rPr>
        <w:t>היכא</w:t>
      </w:r>
      <w:proofErr w:type="spellEnd"/>
      <w:r>
        <w:rPr>
          <w:rtl/>
        </w:rPr>
        <w:t xml:space="preserve"> </w:t>
      </w:r>
      <w:proofErr w:type="spellStart"/>
      <w:r>
        <w:rPr>
          <w:rtl/>
        </w:rPr>
        <w:t>דאפשר</w:t>
      </w:r>
      <w:proofErr w:type="spellEnd"/>
      <w:r>
        <w:rPr>
          <w:rtl/>
        </w:rPr>
        <w:t xml:space="preserve"> להקדים, הוי כאילו שופך דמים" (</w:t>
      </w:r>
      <w:r>
        <w:rPr>
          <w:rFonts w:ascii="Century" w:hAnsi="Century" w:cs="Miriam"/>
          <w:b/>
          <w:spacing w:val="0"/>
          <w:szCs w:val="24"/>
          <w:shd w:val="clear" w:color="auto" w:fill="FFFFFF"/>
          <w:rtl/>
        </w:rPr>
        <w:t>שולחן ערוך</w:t>
      </w:r>
      <w:r>
        <w:rPr>
          <w:rFonts w:ascii="Century" w:hAnsi="Century"/>
          <w:shd w:val="clear" w:color="auto" w:fill="FFFFFF"/>
        </w:rPr>
        <w:t> </w:t>
      </w:r>
      <w:r>
        <w:rPr>
          <w:rFonts w:ascii="Century" w:hAnsi="Century"/>
          <w:shd w:val="clear" w:color="auto" w:fill="FFFFFF"/>
          <w:rtl/>
        </w:rPr>
        <w:t xml:space="preserve">יורה דעה סימן רנ"ב, סעיף ג). </w:t>
      </w:r>
      <w:r>
        <w:rPr>
          <w:rFonts w:ascii="Century" w:hAnsi="Century"/>
          <w:rtl/>
        </w:rPr>
        <w:t>הערך של פדיון שבוים</w:t>
      </w:r>
      <w:r>
        <w:rPr>
          <w:rFonts w:ascii="Times New Roman" w:hAnsi="Times New Roman" w:cs="Times New Roman"/>
          <w:spacing w:val="0"/>
          <w:sz w:val="24"/>
          <w:szCs w:val="24"/>
          <w:rtl/>
        </w:rPr>
        <w:t xml:space="preserve"> </w:t>
      </w:r>
      <w:r>
        <w:rPr>
          <w:rFonts w:ascii="Century" w:hAnsi="Century"/>
          <w:rtl/>
        </w:rPr>
        <w:t>מעוגן כיום בסעיף 6(א) לחוק יסוד: ישראל – מדינת הלאום של העם היהודי, הקובע כי "</w:t>
      </w:r>
      <w:r>
        <w:rPr>
          <w:rFonts w:ascii="Century" w:hAnsi="Century"/>
          <w:shd w:val="clear" w:color="auto" w:fill="FFFFFF"/>
          <w:rtl/>
        </w:rPr>
        <w:t>המדינה תשקוד על הבטחת שלומם של בני העם היהודי ושל אזרחיה הנתונים</w:t>
      </w:r>
      <w:r>
        <w:rPr>
          <w:rFonts w:ascii="Century" w:hAnsi="Century" w:cs="Miriam"/>
          <w:b/>
          <w:spacing w:val="0"/>
          <w:szCs w:val="24"/>
          <w:shd w:val="clear" w:color="auto" w:fill="FFFFFF"/>
          <w:rtl/>
        </w:rPr>
        <w:t xml:space="preserve"> </w:t>
      </w:r>
      <w:r>
        <w:rPr>
          <w:rFonts w:ascii="Century" w:hAnsi="Century"/>
          <w:shd w:val="clear" w:color="auto" w:fill="FFFFFF"/>
          <w:rtl/>
        </w:rPr>
        <w:t>בצרה</w:t>
      </w:r>
      <w:r>
        <w:rPr>
          <w:rFonts w:ascii="Century" w:hAnsi="Century" w:cs="Miriam"/>
          <w:b/>
          <w:spacing w:val="0"/>
          <w:szCs w:val="24"/>
          <w:shd w:val="clear" w:color="auto" w:fill="FFFFFF"/>
          <w:rtl/>
        </w:rPr>
        <w:t xml:space="preserve"> ובשביה </w:t>
      </w:r>
      <w:r>
        <w:rPr>
          <w:rFonts w:ascii="Century" w:hAnsi="Century"/>
          <w:shd w:val="clear" w:color="auto" w:fill="FFFFFF"/>
          <w:rtl/>
        </w:rPr>
        <w:t>בשל יהדותם או בשל אזרחותם".</w:t>
      </w:r>
      <w:r>
        <w:rPr>
          <w:rFonts w:ascii="Century" w:hAnsi="Century" w:cs="Miriam"/>
          <w:b/>
          <w:spacing w:val="0"/>
          <w:szCs w:val="24"/>
          <w:shd w:val="clear" w:color="auto" w:fill="FFFFFF"/>
          <w:rtl/>
        </w:rPr>
        <w:t xml:space="preserve"> </w:t>
      </w:r>
      <w:r>
        <w:rPr>
          <w:rFonts w:ascii="Century" w:hAnsi="Century"/>
          <w:rtl/>
        </w:rPr>
        <w:t xml:space="preserve">התכלית של השבת בנים לגבולם נתפסת, ובצדק, כתכלית ביטחונית, </w:t>
      </w:r>
      <w:r>
        <w:rPr>
          <w:rStyle w:val="default"/>
          <w:rFonts w:ascii="Century" w:hAnsi="Century" w:hint="cs"/>
          <w:rtl/>
        </w:rPr>
        <w:t>אשר "נופלת עמוק בתוך השדה המגנטי של ביטחון המדינה" (פסקה</w:t>
      </w:r>
      <w:r w:rsidR="00AF72DE">
        <w:rPr>
          <w:rStyle w:val="default"/>
          <w:rFonts w:ascii="Century" w:hAnsi="Century" w:hint="cs"/>
          <w:rtl/>
        </w:rPr>
        <w:t xml:space="preserve"> 4 </w:t>
      </w:r>
      <w:r>
        <w:rPr>
          <w:rStyle w:val="default"/>
          <w:rFonts w:ascii="Century" w:hAnsi="Century" w:hint="cs"/>
          <w:rtl/>
        </w:rPr>
        <w:t xml:space="preserve">לפסק דיני </w:t>
      </w:r>
      <w:proofErr w:type="spellStart"/>
      <w:r>
        <w:rPr>
          <w:rStyle w:val="default"/>
          <w:rFonts w:ascii="Century" w:hAnsi="Century" w:hint="cs"/>
          <w:rtl/>
        </w:rPr>
        <w:t>ב</w:t>
      </w:r>
      <w:r>
        <w:rPr>
          <w:rFonts w:ascii="Century" w:hAnsi="Century" w:cs="Miriam"/>
          <w:b/>
          <w:spacing w:val="0"/>
          <w:szCs w:val="24"/>
          <w:rtl/>
        </w:rPr>
        <w:t>דנג"ץ</w:t>
      </w:r>
      <w:proofErr w:type="spellEnd"/>
      <w:r>
        <w:rPr>
          <w:rStyle w:val="default"/>
          <w:rFonts w:ascii="Century" w:hAnsi="Century" w:hint="cs"/>
          <w:rtl/>
        </w:rPr>
        <w:t xml:space="preserve"> </w:t>
      </w:r>
      <w:proofErr w:type="spellStart"/>
      <w:r>
        <w:rPr>
          <w:rStyle w:val="default"/>
          <w:rFonts w:ascii="Century" w:hAnsi="Century" w:cs="Miriam"/>
          <w:b/>
          <w:spacing w:val="0"/>
          <w:szCs w:val="24"/>
          <w:rtl/>
        </w:rPr>
        <w:t>עליאן</w:t>
      </w:r>
      <w:proofErr w:type="spellEnd"/>
      <w:r>
        <w:rPr>
          <w:rStyle w:val="default"/>
          <w:rFonts w:ascii="Century" w:hAnsi="Century" w:hint="cs"/>
          <w:rtl/>
        </w:rPr>
        <w:t xml:space="preserve">), </w:t>
      </w:r>
      <w:r>
        <w:rPr>
          <w:rFonts w:ascii="Century" w:hAnsi="Century"/>
          <w:rtl/>
        </w:rPr>
        <w:t xml:space="preserve">כך שניתן לקבוע כי החזקת גופות מחבלים בשל האפשרות כי הדבר יתרום לקידום המשא ומתן להחזרת חיילים, אזרחים וחללים המוחזקים בידי חמאס, נעשית לתכלית ראויה. </w:t>
      </w:r>
    </w:p>
    <w:p w:rsidR="00EB2082" w:rsidRDefault="00EB2082" w:rsidP="00EB2082">
      <w:pPr>
        <w:pStyle w:val="Ruller40"/>
        <w:rPr>
          <w:rFonts w:ascii="Century" w:hAnsi="Century"/>
          <w:rtl/>
        </w:rPr>
      </w:pPr>
    </w:p>
    <w:p w:rsidR="00EB2082" w:rsidRDefault="00EB2082" w:rsidP="00EB2082">
      <w:pPr>
        <w:pStyle w:val="Ruller40"/>
        <w:rPr>
          <w:rFonts w:ascii="Century" w:hAnsi="Century"/>
          <w:rtl/>
        </w:rPr>
      </w:pPr>
      <w:r>
        <w:rPr>
          <w:rFonts w:ascii="Century" w:hAnsi="Century"/>
          <w:rtl/>
        </w:rPr>
        <w:t>16.</w:t>
      </w:r>
      <w:r>
        <w:rPr>
          <w:rFonts w:ascii="Century" w:hAnsi="Century"/>
          <w:rtl/>
        </w:rPr>
        <w:tab/>
        <w:t xml:space="preserve">החזקת גופות מחבלים היא אילוץ שנובע מכך שהמלחמה נגד ארגוני טרור, שאינם מכבדים את כללי המלחמה, אינה כמלחמה מול מדינות, </w:t>
      </w:r>
      <w:r>
        <w:rPr>
          <w:rStyle w:val="default"/>
          <w:rFonts w:ascii="Century" w:hAnsi="Century" w:hint="cs"/>
          <w:rtl/>
        </w:rPr>
        <w:t xml:space="preserve">ויש לפתח כלים משפטיים כדי להתמודד במלחמה זו </w:t>
      </w:r>
      <w:r>
        <w:rPr>
          <w:rFonts w:ascii="Century" w:hAnsi="Century"/>
          <w:rtl/>
        </w:rPr>
        <w:t xml:space="preserve">(וראו באופן כללי אצל עמנואל גרוס </w:t>
      </w:r>
      <w:r>
        <w:rPr>
          <w:rFonts w:ascii="Century" w:hAnsi="Century" w:cs="Miriam"/>
          <w:b/>
          <w:spacing w:val="0"/>
          <w:szCs w:val="24"/>
          <w:rtl/>
        </w:rPr>
        <w:t>מאבקה של דמוקרטיה בטרור – היבטים משפטיים ומוסריים</w:t>
      </w:r>
      <w:r>
        <w:rPr>
          <w:rFonts w:ascii="Century" w:hAnsi="Century"/>
          <w:rtl/>
        </w:rPr>
        <w:t xml:space="preserve"> 70 (2004)). העובדה כי ארגון החמאס, </w:t>
      </w:r>
      <w:r>
        <w:rPr>
          <w:rtl/>
        </w:rPr>
        <w:t xml:space="preserve">ארגון טרור רצחני השולל את זכות קיומה של המדינה, </w:t>
      </w:r>
      <w:r>
        <w:rPr>
          <w:rFonts w:ascii="Century" w:hAnsi="Century"/>
          <w:rtl/>
        </w:rPr>
        <w:t xml:space="preserve">מחזיק בגופות חיילי צה"ל ואזרחים ישראליים, עשויה להוות הצדקה מוסרית להדדיות בנושא זה. עם זאת, יש להודות כי החזקת גופות היא </w:t>
      </w:r>
      <w:r>
        <w:rPr>
          <w:rtl/>
        </w:rPr>
        <w:t>"מן הפירות הבאושים של הטרור הרצחני, בעטיו של האויב האכזרי, שמוכרחים אנחנו כך לעשות, שימוש שכזה בגופות מחבלים" (</w:t>
      </w:r>
      <w:proofErr w:type="spellStart"/>
      <w:r>
        <w:rPr>
          <w:rFonts w:ascii="Century" w:hAnsi="Century" w:cs="Miriam"/>
          <w:b/>
          <w:spacing w:val="0"/>
          <w:szCs w:val="24"/>
          <w:rtl/>
        </w:rPr>
        <w:t>דנג"ץ</w:t>
      </w:r>
      <w:proofErr w:type="spellEnd"/>
      <w:r>
        <w:rPr>
          <w:rFonts w:ascii="Century" w:hAnsi="Century" w:cs="Miriam"/>
          <w:b/>
          <w:spacing w:val="0"/>
          <w:szCs w:val="24"/>
          <w:rtl/>
        </w:rPr>
        <w:t xml:space="preserve"> </w:t>
      </w:r>
      <w:proofErr w:type="spellStart"/>
      <w:r>
        <w:rPr>
          <w:rFonts w:ascii="Century" w:hAnsi="Century" w:cs="Miriam"/>
          <w:b/>
          <w:spacing w:val="0"/>
          <w:szCs w:val="24"/>
          <w:rtl/>
        </w:rPr>
        <w:t>עליאן</w:t>
      </w:r>
      <w:proofErr w:type="spellEnd"/>
      <w:r>
        <w:rPr>
          <w:rtl/>
        </w:rPr>
        <w:t xml:space="preserve">, פסקה 5 לפסק דינו של השופט </w:t>
      </w:r>
      <w:r>
        <w:rPr>
          <w:rFonts w:ascii="Century" w:hAnsi="Century" w:cs="Miriam"/>
          <w:b/>
          <w:spacing w:val="0"/>
          <w:szCs w:val="24"/>
          <w:rtl/>
        </w:rPr>
        <w:t>סולברג</w:t>
      </w:r>
      <w:r>
        <w:rPr>
          <w:rtl/>
        </w:rPr>
        <w:t xml:space="preserve">). שומה עלינו להישמר פן ניגרר אחרי ארגוני הטרור, כי </w:t>
      </w:r>
      <w:r>
        <w:rPr>
          <w:rtl/>
        </w:rPr>
        <w:lastRenderedPageBreak/>
        <w:t>"המחיר של איבוד הזהות והענקת הכוח לארגוני הטרור לקבוע את הכללים עבור המדינה כמוהו כניצחון לצד שכנגד, ואפשרות זו אינה באה בחשבון" (</w:t>
      </w:r>
      <w:proofErr w:type="spellStart"/>
      <w:r>
        <w:rPr>
          <w:rFonts w:ascii="Century" w:hAnsi="Century" w:cs="Miriam"/>
          <w:b/>
          <w:spacing w:val="0"/>
          <w:szCs w:val="24"/>
          <w:rtl/>
        </w:rPr>
        <w:t>דנג"ץ</w:t>
      </w:r>
      <w:proofErr w:type="spellEnd"/>
      <w:r>
        <w:rPr>
          <w:rFonts w:ascii="Century" w:hAnsi="Century" w:cs="Miriam"/>
          <w:b/>
          <w:spacing w:val="0"/>
          <w:szCs w:val="24"/>
          <w:rtl/>
        </w:rPr>
        <w:t xml:space="preserve"> </w:t>
      </w:r>
      <w:proofErr w:type="spellStart"/>
      <w:r>
        <w:rPr>
          <w:rFonts w:ascii="Century" w:hAnsi="Century" w:cs="Miriam"/>
          <w:b/>
          <w:spacing w:val="0"/>
          <w:szCs w:val="24"/>
          <w:rtl/>
        </w:rPr>
        <w:t>עליאן</w:t>
      </w:r>
      <w:proofErr w:type="spellEnd"/>
      <w:r>
        <w:rPr>
          <w:rtl/>
        </w:rPr>
        <w:t xml:space="preserve">, פסקה 2 לפסק דינו של השופט </w:t>
      </w:r>
      <w:r>
        <w:rPr>
          <w:rFonts w:ascii="Century" w:hAnsi="Century" w:cs="Miriam"/>
          <w:b/>
          <w:spacing w:val="0"/>
          <w:szCs w:val="24"/>
          <w:rtl/>
        </w:rPr>
        <w:t>הנדל</w:t>
      </w:r>
      <w:r>
        <w:rPr>
          <w:rtl/>
        </w:rPr>
        <w:t>).</w:t>
      </w:r>
      <w:r>
        <w:rPr>
          <w:rFonts w:ascii="Century" w:hAnsi="Century"/>
          <w:rtl/>
        </w:rPr>
        <w:t xml:space="preserve"> בשל הערכים המתנגשים, ועל מנת שלא להידמות מוסרית לאויבינו, אין מדיניות מוצהרת של "צבירת" גופות מחבלים, הגם שכאמור המדיניות בנושא זה הורחבה עד מאוד בהחלטת הקבינט השנייה. כפי שצוין בעבר בפסיקה, רוסיה וישראל הן ככל הנראה המדינות היחידות שהסוגיה של החזקת גופות מחבלים מעוגנת אצלן בחוק (עניין </w:t>
      </w:r>
      <w:proofErr w:type="spellStart"/>
      <w:r>
        <w:rPr>
          <w:rFonts w:ascii="Century" w:hAnsi="Century" w:cs="Miriam"/>
          <w:b/>
          <w:spacing w:val="0"/>
          <w:szCs w:val="24"/>
          <w:rtl/>
        </w:rPr>
        <w:t>עליאן</w:t>
      </w:r>
      <w:proofErr w:type="spellEnd"/>
      <w:r>
        <w:rPr>
          <w:rFonts w:ascii="Century" w:hAnsi="Century"/>
          <w:rtl/>
        </w:rPr>
        <w:t xml:space="preserve">, פסקה 35 לפסק דינו של השופט </w:t>
      </w:r>
      <w:proofErr w:type="spellStart"/>
      <w:r>
        <w:rPr>
          <w:rFonts w:ascii="Century" w:hAnsi="Century" w:cs="Miriam"/>
          <w:b/>
          <w:spacing w:val="0"/>
          <w:szCs w:val="24"/>
          <w:rtl/>
        </w:rPr>
        <w:t>דנציגר</w:t>
      </w:r>
      <w:proofErr w:type="spellEnd"/>
      <w:r>
        <w:rPr>
          <w:rFonts w:ascii="Century" w:hAnsi="Century"/>
          <w:rtl/>
        </w:rPr>
        <w:t xml:space="preserve"> וראו התייחסותי </w:t>
      </w:r>
      <w:proofErr w:type="spellStart"/>
      <w:r>
        <w:rPr>
          <w:rFonts w:ascii="Century" w:hAnsi="Century"/>
          <w:rtl/>
        </w:rPr>
        <w:t>ב</w:t>
      </w:r>
      <w:r>
        <w:rPr>
          <w:rFonts w:ascii="Century" w:hAnsi="Century" w:cs="Miriam"/>
          <w:b/>
          <w:spacing w:val="0"/>
          <w:szCs w:val="24"/>
          <w:rtl/>
        </w:rPr>
        <w:t>דנג"ץ</w:t>
      </w:r>
      <w:proofErr w:type="spellEnd"/>
      <w:r>
        <w:rPr>
          <w:rFonts w:ascii="Century" w:hAnsi="Century" w:cs="Miriam"/>
          <w:b/>
          <w:spacing w:val="0"/>
          <w:szCs w:val="24"/>
          <w:rtl/>
        </w:rPr>
        <w:t xml:space="preserve"> </w:t>
      </w:r>
      <w:proofErr w:type="spellStart"/>
      <w:r>
        <w:rPr>
          <w:rFonts w:ascii="Century" w:hAnsi="Century" w:cs="Miriam"/>
          <w:b/>
          <w:spacing w:val="0"/>
          <w:szCs w:val="24"/>
          <w:rtl/>
        </w:rPr>
        <w:t>עליאן</w:t>
      </w:r>
      <w:proofErr w:type="spellEnd"/>
      <w:r>
        <w:rPr>
          <w:rFonts w:ascii="Century" w:hAnsi="Century"/>
          <w:rtl/>
        </w:rPr>
        <w:t xml:space="preserve"> בפסקה 8 לפסק דיני), ובנקודה זו אנו מגיעים לשאלת מקור הסמכות. </w:t>
      </w:r>
    </w:p>
    <w:p w:rsidR="00EB2082" w:rsidRDefault="00EB2082" w:rsidP="00EB2082">
      <w:pPr>
        <w:pStyle w:val="Ruller40"/>
        <w:rPr>
          <w:rFonts w:ascii="Century" w:hAnsi="Century"/>
          <w:rtl/>
        </w:rPr>
      </w:pPr>
    </w:p>
    <w:p w:rsidR="00EB2082" w:rsidRDefault="00EB2082" w:rsidP="00EB2082">
      <w:pPr>
        <w:pStyle w:val="Ruller40"/>
        <w:rPr>
          <w:rFonts w:ascii="Century" w:hAnsi="Century"/>
          <w:rtl/>
        </w:rPr>
      </w:pPr>
      <w:r>
        <w:rPr>
          <w:rFonts w:ascii="Century" w:hAnsi="Century"/>
          <w:rtl/>
        </w:rPr>
        <w:t>17.</w:t>
      </w:r>
      <w:r>
        <w:rPr>
          <w:rFonts w:ascii="Century" w:hAnsi="Century"/>
          <w:rtl/>
        </w:rPr>
        <w:tab/>
        <w:t xml:space="preserve">בעניין </w:t>
      </w:r>
      <w:proofErr w:type="spellStart"/>
      <w:r>
        <w:rPr>
          <w:rFonts w:ascii="Century" w:hAnsi="Century" w:cs="Miriam"/>
          <w:b/>
          <w:spacing w:val="0"/>
          <w:szCs w:val="24"/>
          <w:rtl/>
        </w:rPr>
        <w:t>ג'בארין</w:t>
      </w:r>
      <w:proofErr w:type="spellEnd"/>
      <w:r>
        <w:rPr>
          <w:rFonts w:ascii="Century" w:hAnsi="Century" w:cs="Miriam"/>
          <w:b/>
          <w:spacing w:val="0"/>
          <w:szCs w:val="24"/>
          <w:rtl/>
        </w:rPr>
        <w:t xml:space="preserve"> </w:t>
      </w:r>
      <w:r>
        <w:rPr>
          <w:rFonts w:ascii="Century" w:hAnsi="Century"/>
          <w:rtl/>
        </w:rPr>
        <w:t xml:space="preserve">נפסק כי אין בסמכות הכללית </w:t>
      </w:r>
      <w:r>
        <w:rPr>
          <w:rStyle w:val="default"/>
          <w:rFonts w:ascii="Century" w:hAnsi="Century" w:hint="cs"/>
          <w:rtl/>
        </w:rPr>
        <w:t xml:space="preserve">הנתונה למשטרה </w:t>
      </w:r>
      <w:r>
        <w:rPr>
          <w:rFonts w:ascii="Century" w:hAnsi="Century"/>
          <w:rtl/>
        </w:rPr>
        <w:t>"בקיום הסדר הציבורי ובטחון הנפש", כאמור</w:t>
      </w:r>
      <w:r>
        <w:rPr>
          <w:sz w:val="28"/>
          <w:rtl/>
        </w:rPr>
        <w:t xml:space="preserve"> </w:t>
      </w:r>
      <w:r>
        <w:rPr>
          <w:rFonts w:ascii="Century" w:hAnsi="Century"/>
          <w:rtl/>
        </w:rPr>
        <w:t>בסעיף 4א לפקודת המשטרה</w:t>
      </w:r>
      <w:r>
        <w:rPr>
          <w:rtl/>
        </w:rPr>
        <w:t xml:space="preserve">, </w:t>
      </w:r>
      <w:r>
        <w:rPr>
          <w:sz w:val="28"/>
          <w:rtl/>
        </w:rPr>
        <w:t>כדי להסמיך את המשטרה להתנות שחרור גופות מחבלים בהסכמת בני משפחותיהם לתנאים שבהם תיערכנה הלוויות</w:t>
      </w:r>
      <w:r>
        <w:rPr>
          <w:rFonts w:ascii="Century" w:hAnsi="Century"/>
          <w:rtl/>
        </w:rPr>
        <w:t xml:space="preserve"> (להבדיל מסמכותה לפקח על הסדר הציבורי בעת הלוויה). </w:t>
      </w:r>
    </w:p>
    <w:p w:rsidR="00EB2082" w:rsidRDefault="00EB2082" w:rsidP="00EB2082">
      <w:pPr>
        <w:pStyle w:val="Ruller40"/>
        <w:rPr>
          <w:rFonts w:ascii="Century" w:hAnsi="Century"/>
          <w:rtl/>
        </w:rPr>
      </w:pPr>
    </w:p>
    <w:p w:rsidR="00EB2082" w:rsidRDefault="00EB2082" w:rsidP="00EB2082">
      <w:pPr>
        <w:pStyle w:val="Ruller40"/>
        <w:rPr>
          <w:rFonts w:ascii="Century" w:hAnsi="Century"/>
          <w:shd w:val="clear" w:color="auto" w:fill="FFFFFF"/>
          <w:rtl/>
        </w:rPr>
      </w:pPr>
      <w:r>
        <w:rPr>
          <w:rFonts w:ascii="Century" w:hAnsi="Century"/>
          <w:rtl/>
        </w:rPr>
        <w:tab/>
        <w:t xml:space="preserve">בעקבות פסק הדין בעניין </w:t>
      </w:r>
      <w:proofErr w:type="spellStart"/>
      <w:r>
        <w:rPr>
          <w:rFonts w:ascii="Century" w:hAnsi="Century" w:cs="Miriam"/>
          <w:b/>
          <w:spacing w:val="0"/>
          <w:szCs w:val="24"/>
          <w:rtl/>
        </w:rPr>
        <w:t>ג'בארין</w:t>
      </w:r>
      <w:proofErr w:type="spellEnd"/>
      <w:r>
        <w:rPr>
          <w:rFonts w:ascii="Century" w:hAnsi="Century"/>
          <w:rtl/>
        </w:rPr>
        <w:t xml:space="preserve"> תוקן חוק המאבק בטרור (תיקון מס' 3 התשע"ח-2018), ונוספו סעיף 70א אשר מסמיך את מפקד המחוז להטיל הגבלות שונות על לוויית מפגע (צו הגבלה), וסעיף 70ב המסמיך את מפקד המחוז לעכב מסירת גופת מפגע לפרק זמן מסוים, שניתן להארכה על ידי המפכ"ל, עד לעמידה בתנאים שנקבעו בצו ההגבלה. סעיפים אלה, שעניינם בשמירה על הסדר הציבורי, נועדו למנוע הפרות סדר ועריכת הלוויות המוניות, תוך גילויי האדרה והזדהות עם מעשי המחבלים. ברם, הוראות אלה אינן רלוונטיות לענייננו משני טעמים. ראשית, "מפגע" מוגדר בסעיף 70א כ"</w:t>
      </w:r>
      <w:r>
        <w:rPr>
          <w:rFonts w:ascii="Century" w:hAnsi="Century"/>
          <w:shd w:val="clear" w:color="auto" w:fill="FFFFFF"/>
          <w:rtl/>
        </w:rPr>
        <w:t xml:space="preserve">מי שנהרג בקשר עם ביצוע מעשה טרור בידו או ניסיון לביצוע מעשה כאמור". דקה מת כאמור בבית חולים ולא נהרג במהלך ביצוע מעשה טרור. שנית, ענייננו אינו בעיכוב החזרת גופת דקה בשל הגבלות כאלה ואחרות על </w:t>
      </w:r>
      <w:proofErr w:type="spellStart"/>
      <w:r>
        <w:rPr>
          <w:rFonts w:ascii="Century" w:hAnsi="Century"/>
          <w:shd w:val="clear" w:color="auto" w:fill="FFFFFF"/>
          <w:rtl/>
        </w:rPr>
        <w:t>הלוויתו</w:t>
      </w:r>
      <w:proofErr w:type="spellEnd"/>
      <w:r>
        <w:rPr>
          <w:rFonts w:ascii="Century" w:hAnsi="Century"/>
          <w:shd w:val="clear" w:color="auto" w:fill="FFFFFF"/>
          <w:rtl/>
        </w:rPr>
        <w:t xml:space="preserve">, אלא בהחזקת הגופה לפרק זמן לא ידוע. </w:t>
      </w:r>
    </w:p>
    <w:p w:rsidR="00EB2082" w:rsidRDefault="00EB2082" w:rsidP="00EB2082">
      <w:pPr>
        <w:pStyle w:val="Ruller40"/>
        <w:rPr>
          <w:rFonts w:ascii="Century" w:hAnsi="Century"/>
          <w:shd w:val="clear" w:color="auto" w:fill="FFFFFF"/>
          <w:rtl/>
        </w:rPr>
      </w:pPr>
    </w:p>
    <w:p w:rsidR="00EB2082" w:rsidRDefault="00EB2082" w:rsidP="00EB2082">
      <w:pPr>
        <w:pStyle w:val="Ruller40"/>
        <w:rPr>
          <w:rtl/>
        </w:rPr>
      </w:pPr>
      <w:r>
        <w:rPr>
          <w:rFonts w:ascii="Century" w:hAnsi="Century"/>
          <w:shd w:val="clear" w:color="auto" w:fill="FFFFFF"/>
          <w:rtl/>
        </w:rPr>
        <w:tab/>
        <w:t xml:space="preserve">מכאן, שמקור הסמכות להחזקת גופה אינו בחוק המאבק בטרור. </w:t>
      </w:r>
    </w:p>
    <w:p w:rsidR="00EB2082" w:rsidRDefault="00EB2082" w:rsidP="00EB2082">
      <w:pPr>
        <w:pStyle w:val="Ruller40"/>
        <w:rPr>
          <w:rtl/>
        </w:rPr>
      </w:pPr>
    </w:p>
    <w:p w:rsidR="00EB2082" w:rsidRDefault="00EB2082" w:rsidP="00EB2082">
      <w:pPr>
        <w:pStyle w:val="Ruller40"/>
        <w:rPr>
          <w:rFonts w:ascii="Century" w:hAnsi="Century"/>
          <w:rtl/>
        </w:rPr>
      </w:pPr>
      <w:r>
        <w:rPr>
          <w:rtl/>
        </w:rPr>
        <w:t>18.</w:t>
      </w:r>
      <w:r>
        <w:rPr>
          <w:rtl/>
        </w:rPr>
        <w:tab/>
        <w:t xml:space="preserve">ההחלטה הראשונה וההחלטה השנייה של הקבינט המדיני-ביטחוני הן בגדר מדיניות כללית, שביצועה ויישומה הוטל על המפקד הצבאי. אך המפקד הצבאי אינו פועל בחלל ריק והוא נדרש לפעול </w:t>
      </w:r>
      <w:r>
        <w:rPr>
          <w:rFonts w:ascii="Century" w:hAnsi="Century"/>
          <w:rtl/>
        </w:rPr>
        <w:t>לפי סמכות שנתונה לו בדין. תקנה 133(3) לתקנות ההגנה קובעת כלהלן:</w:t>
      </w:r>
    </w:p>
    <w:p w:rsidR="00EB2082" w:rsidRDefault="00EB2082" w:rsidP="00EB2082">
      <w:pPr>
        <w:pStyle w:val="Ruller40"/>
        <w:rPr>
          <w:rFonts w:ascii="Century" w:hAnsi="Century"/>
          <w:rtl/>
        </w:rPr>
      </w:pPr>
    </w:p>
    <w:p w:rsidR="00EB2082" w:rsidRPr="009E210F" w:rsidRDefault="00EB2082" w:rsidP="009E210F">
      <w:pPr>
        <w:pStyle w:val="Ruller50"/>
        <w:rPr>
          <w:rStyle w:val="default"/>
          <w:rFonts w:ascii="Century" w:hAnsi="Century" w:cs="FrankRuehl"/>
          <w:sz w:val="22"/>
          <w:szCs w:val="28"/>
          <w:rtl/>
        </w:rPr>
      </w:pPr>
      <w:r w:rsidRPr="009E210F">
        <w:rPr>
          <w:rStyle w:val="default"/>
          <w:rFonts w:ascii="Century" w:hAnsi="Century" w:cs="FrankRuehl" w:hint="cs"/>
          <w:sz w:val="22"/>
          <w:szCs w:val="28"/>
          <w:rtl/>
        </w:rPr>
        <w:lastRenderedPageBreak/>
        <w:t xml:space="preserve">למרות כל הכלול בכל חוק, יהיה מותר למפקד צבאי לצוות כי </w:t>
      </w:r>
      <w:proofErr w:type="spellStart"/>
      <w:r w:rsidRPr="009E210F">
        <w:rPr>
          <w:rStyle w:val="default"/>
          <w:rFonts w:ascii="Century" w:hAnsi="Century" w:cs="FrankRuehl" w:hint="cs"/>
          <w:sz w:val="22"/>
          <w:szCs w:val="28"/>
          <w:rtl/>
        </w:rPr>
        <w:t>גוויתו</w:t>
      </w:r>
      <w:proofErr w:type="spellEnd"/>
      <w:r w:rsidRPr="009E210F">
        <w:rPr>
          <w:rStyle w:val="default"/>
          <w:rFonts w:ascii="Century" w:hAnsi="Century" w:cs="FrankRuehl" w:hint="cs"/>
          <w:sz w:val="22"/>
          <w:szCs w:val="28"/>
          <w:rtl/>
        </w:rPr>
        <w:t xml:space="preserve"> של כל אדם תיקבר באותו מקום שהמפקד הצבאי יורה. המפקד הצבאי רשאי באותו צו להורות מי-ומי יקבור אותה </w:t>
      </w:r>
      <w:proofErr w:type="spellStart"/>
      <w:r w:rsidRPr="009E210F">
        <w:rPr>
          <w:rStyle w:val="default"/>
          <w:rFonts w:ascii="Century" w:hAnsi="Century" w:cs="FrankRuehl" w:hint="cs"/>
          <w:sz w:val="22"/>
          <w:szCs w:val="28"/>
          <w:rtl/>
        </w:rPr>
        <w:t>גוויה</w:t>
      </w:r>
      <w:proofErr w:type="spellEnd"/>
      <w:r w:rsidRPr="009E210F">
        <w:rPr>
          <w:rStyle w:val="default"/>
          <w:rFonts w:ascii="Century" w:hAnsi="Century" w:cs="FrankRuehl" w:hint="cs"/>
          <w:sz w:val="22"/>
          <w:szCs w:val="28"/>
          <w:rtl/>
        </w:rPr>
        <w:t xml:space="preserve"> ובאיזו שעה תיקבר. הצו האמור יהיה הרשאה מלאה ומספקת לקבורתה של אותה </w:t>
      </w:r>
      <w:proofErr w:type="spellStart"/>
      <w:r w:rsidRPr="009E210F">
        <w:rPr>
          <w:rStyle w:val="default"/>
          <w:rFonts w:ascii="Century" w:hAnsi="Century" w:cs="FrankRuehl" w:hint="cs"/>
          <w:sz w:val="22"/>
          <w:szCs w:val="28"/>
          <w:rtl/>
        </w:rPr>
        <w:t>גוויה</w:t>
      </w:r>
      <w:proofErr w:type="spellEnd"/>
      <w:r w:rsidRPr="009E210F">
        <w:rPr>
          <w:rStyle w:val="default"/>
          <w:rFonts w:ascii="Century" w:hAnsi="Century" w:cs="FrankRuehl" w:hint="cs"/>
          <w:sz w:val="22"/>
          <w:szCs w:val="28"/>
          <w:rtl/>
        </w:rPr>
        <w:t>, וכל אדם העובר על אותו צו או מפריע לו יאשם בעבירה על התקנות האלה.</w:t>
      </w:r>
    </w:p>
    <w:p w:rsidR="00EB2082" w:rsidRDefault="00EB2082" w:rsidP="009E210F">
      <w:pPr>
        <w:pStyle w:val="Ruller40"/>
        <w:rPr>
          <w:rtl/>
        </w:rPr>
      </w:pPr>
    </w:p>
    <w:p w:rsidR="00EB2082" w:rsidRDefault="00EB2082" w:rsidP="00EB2082">
      <w:pPr>
        <w:pStyle w:val="Ruller40"/>
        <w:rPr>
          <w:rFonts w:ascii="Century" w:hAnsi="Century"/>
          <w:rtl/>
        </w:rPr>
      </w:pPr>
      <w:r>
        <w:rPr>
          <w:rFonts w:ascii="Century" w:hAnsi="Century"/>
          <w:rtl/>
        </w:rPr>
        <w:tab/>
        <w:t xml:space="preserve">טענת העותרים כי לתקנה 133(3) אין תחולה על גופות מחבלים בישראל, נדחתה פה אחד כבר בעניין </w:t>
      </w:r>
      <w:proofErr w:type="spellStart"/>
      <w:r>
        <w:rPr>
          <w:rFonts w:ascii="Century" w:hAnsi="Century" w:cs="Miriam"/>
          <w:b/>
          <w:spacing w:val="0"/>
          <w:szCs w:val="24"/>
          <w:rtl/>
        </w:rPr>
        <w:t>עליאן</w:t>
      </w:r>
      <w:proofErr w:type="spellEnd"/>
      <w:r>
        <w:rPr>
          <w:rFonts w:ascii="Century" w:hAnsi="Century"/>
          <w:rtl/>
        </w:rPr>
        <w:t xml:space="preserve">, שם </w:t>
      </w:r>
      <w:r>
        <w:rPr>
          <w:rtl/>
        </w:rPr>
        <w:t>צווי הקבורה הוצאו על ידי מפקד פיקוד המרכז ומפקד פיקוד הצפון</w:t>
      </w:r>
      <w:r>
        <w:rPr>
          <w:rFonts w:ascii="Century" w:hAnsi="Century"/>
          <w:rtl/>
        </w:rPr>
        <w:t xml:space="preserve"> (בענייננו, צווי הקבורה אמורים להיות מוצאים על ידי מפקד פיקוד העורף). כפי שסיכמתי את דעות השופטים </w:t>
      </w:r>
      <w:proofErr w:type="spellStart"/>
      <w:r>
        <w:rPr>
          <w:rFonts w:ascii="Century" w:hAnsi="Century"/>
          <w:rtl/>
        </w:rPr>
        <w:t>ב</w:t>
      </w:r>
      <w:r>
        <w:rPr>
          <w:rFonts w:ascii="Century" w:hAnsi="Century" w:cs="Miriam"/>
          <w:b/>
          <w:spacing w:val="0"/>
          <w:szCs w:val="24"/>
          <w:rtl/>
        </w:rPr>
        <w:t>דנג"ץ</w:t>
      </w:r>
      <w:proofErr w:type="spellEnd"/>
      <w:r>
        <w:rPr>
          <w:rFonts w:ascii="Century" w:hAnsi="Century" w:cs="Miriam"/>
          <w:b/>
          <w:spacing w:val="0"/>
          <w:szCs w:val="24"/>
          <w:rtl/>
        </w:rPr>
        <w:t xml:space="preserve"> </w:t>
      </w:r>
      <w:proofErr w:type="spellStart"/>
      <w:r>
        <w:rPr>
          <w:rFonts w:ascii="Century" w:hAnsi="Century" w:cs="Miriam"/>
          <w:b/>
          <w:spacing w:val="0"/>
          <w:szCs w:val="24"/>
          <w:rtl/>
        </w:rPr>
        <w:t>עליאן</w:t>
      </w:r>
      <w:proofErr w:type="spellEnd"/>
      <w:r>
        <w:rPr>
          <w:rFonts w:ascii="Century" w:hAnsi="Century"/>
          <w:rtl/>
        </w:rPr>
        <w:t xml:space="preserve"> (פסקה 1ב לפסק דיני), הוסכם על דעת כל השופטים כי </w:t>
      </w:r>
      <w:r>
        <w:rPr>
          <w:rtl/>
        </w:rPr>
        <w:t xml:space="preserve">מעמדן של תקנות ההגנה הוא כשל חקיקה ראשית והן חלות גם בתחומי מדינת ישראל (וראו </w:t>
      </w:r>
      <w:r>
        <w:rPr>
          <w:rFonts w:ascii="Century" w:hAnsi="Century"/>
          <w:rtl/>
        </w:rPr>
        <w:t xml:space="preserve">עניין </w:t>
      </w:r>
      <w:proofErr w:type="spellStart"/>
      <w:r>
        <w:rPr>
          <w:rFonts w:ascii="Century" w:hAnsi="Century" w:cs="Miriam"/>
          <w:b/>
          <w:spacing w:val="0"/>
          <w:szCs w:val="24"/>
          <w:rtl/>
        </w:rPr>
        <w:t>עליאן</w:t>
      </w:r>
      <w:proofErr w:type="spellEnd"/>
      <w:r>
        <w:rPr>
          <w:rFonts w:ascii="Century" w:hAnsi="Century"/>
          <w:rtl/>
        </w:rPr>
        <w:t xml:space="preserve">, פסקה 46 לפסק דינו של השופט </w:t>
      </w:r>
      <w:proofErr w:type="spellStart"/>
      <w:r>
        <w:rPr>
          <w:rFonts w:ascii="Century" w:hAnsi="Century" w:cs="Miriam"/>
          <w:b/>
          <w:spacing w:val="0"/>
          <w:szCs w:val="24"/>
          <w:rtl/>
        </w:rPr>
        <w:t>דנציגר</w:t>
      </w:r>
      <w:proofErr w:type="spellEnd"/>
      <w:r>
        <w:rPr>
          <w:rFonts w:ascii="Century" w:hAnsi="Century"/>
          <w:rtl/>
        </w:rPr>
        <w:t xml:space="preserve"> והאסמכתאות שם). כך, לדוגמה, תקנה 125 </w:t>
      </w:r>
      <w:r>
        <w:rPr>
          <w:rFonts w:ascii="Century" w:hAnsi="Century"/>
          <w:sz w:val="28"/>
          <w:rtl/>
        </w:rPr>
        <w:t xml:space="preserve">לתקנות ההגנה, שמסמיכה את המפקד הצבאי להכריז בצו על שטח סגור לצרכים המנויים בתקנה </w:t>
      </w:r>
      <w:r>
        <w:rPr>
          <w:rFonts w:ascii="Century" w:hAnsi="Century"/>
          <w:rtl/>
        </w:rPr>
        <w:t xml:space="preserve">(ע"א 2281/06 </w:t>
      </w:r>
      <w:r>
        <w:rPr>
          <w:rFonts w:ascii="Century" w:hAnsi="Century" w:cs="Miriam"/>
          <w:b/>
          <w:spacing w:val="0"/>
          <w:szCs w:val="24"/>
          <w:rtl/>
        </w:rPr>
        <w:t>אבן זוהר נ' מדינת ישראל</w:t>
      </w:r>
      <w:r>
        <w:rPr>
          <w:rFonts w:ascii="Century" w:hAnsi="Century"/>
          <w:rtl/>
        </w:rPr>
        <w:t xml:space="preserve"> (28.4.2010)). במישור הסמכות, אין אפוא מניעה להפעיל את תקנה 133(3) לתקנות ההגנה גם על גופת אזרח ישראלי: </w:t>
      </w:r>
    </w:p>
    <w:p w:rsidR="00EB2082" w:rsidRDefault="00EB2082" w:rsidP="00EB2082">
      <w:pPr>
        <w:pStyle w:val="Ruller50"/>
        <w:rPr>
          <w:rtl/>
        </w:rPr>
      </w:pPr>
    </w:p>
    <w:p w:rsidR="00EB2082" w:rsidRDefault="00EB2082" w:rsidP="00EB2082">
      <w:pPr>
        <w:pStyle w:val="Ruller50"/>
        <w:rPr>
          <w:rtl/>
        </w:rPr>
      </w:pPr>
      <w:r>
        <w:rPr>
          <w:rtl/>
        </w:rPr>
        <w:t xml:space="preserve">"הדין </w:t>
      </w:r>
      <w:r>
        <w:rPr>
          <w:rFonts w:cs="Miriam"/>
          <w:b/>
          <w:spacing w:val="0"/>
          <w:szCs w:val="24"/>
          <w:rtl/>
        </w:rPr>
        <w:t>הפנימי</w:t>
      </w:r>
      <w:r>
        <w:rPr>
          <w:rtl/>
        </w:rPr>
        <w:t xml:space="preserve"> החל הן בישראל והן באזור מקנה למפקד הצבאי </w:t>
      </w:r>
      <w:r w:rsidRPr="009E210F">
        <w:rPr>
          <w:rFonts w:ascii="Century" w:hAnsi="Century"/>
          <w:rtl/>
        </w:rPr>
        <w:t>בתקנה 133(3)</w:t>
      </w:r>
      <w:r>
        <w:t xml:space="preserve"> </w:t>
      </w:r>
      <w:r>
        <w:rPr>
          <w:rtl/>
        </w:rPr>
        <w:t>לתקנות ההגנה סמכות להורות על קבורה ארעית של גופות מחבלים והחזקתן לצרכי משא-ומתן [...] אין יסוד להבחנה בין גופות של מחבלים תושבי האזור או תושבי ישראל – וסמכותו של המפקד הצבאי תקפה ביחס לכולן" (</w:t>
      </w:r>
      <w:proofErr w:type="spellStart"/>
      <w:r>
        <w:rPr>
          <w:rFonts w:ascii="Century" w:hAnsi="Century" w:cs="Miriam"/>
          <w:b/>
          <w:spacing w:val="0"/>
          <w:szCs w:val="24"/>
          <w:rtl/>
        </w:rPr>
        <w:t>דנג"ץ</w:t>
      </w:r>
      <w:proofErr w:type="spellEnd"/>
      <w:r>
        <w:rPr>
          <w:rtl/>
        </w:rPr>
        <w:t xml:space="preserve"> </w:t>
      </w:r>
      <w:proofErr w:type="spellStart"/>
      <w:r>
        <w:rPr>
          <w:rFonts w:ascii="Century" w:hAnsi="Century" w:cs="Miriam"/>
          <w:b/>
          <w:spacing w:val="0"/>
          <w:szCs w:val="24"/>
          <w:rtl/>
        </w:rPr>
        <w:t>עליאן</w:t>
      </w:r>
      <w:proofErr w:type="spellEnd"/>
      <w:r>
        <w:rPr>
          <w:rFonts w:ascii="Century" w:hAnsi="Century"/>
          <w:rtl/>
        </w:rPr>
        <w:t>,</w:t>
      </w:r>
      <w:r>
        <w:rPr>
          <w:rFonts w:ascii="Century" w:hAnsi="Century" w:cs="Miriam"/>
          <w:b/>
          <w:spacing w:val="0"/>
          <w:szCs w:val="24"/>
          <w:rtl/>
        </w:rPr>
        <w:t xml:space="preserve"> </w:t>
      </w:r>
      <w:r>
        <w:rPr>
          <w:rtl/>
        </w:rPr>
        <w:t xml:space="preserve">פסקה 30 לפסק דינה של הנשיאה </w:t>
      </w:r>
      <w:r>
        <w:rPr>
          <w:rFonts w:ascii="Century" w:hAnsi="Century" w:cs="Miriam"/>
          <w:b/>
          <w:spacing w:val="0"/>
          <w:szCs w:val="24"/>
          <w:rtl/>
        </w:rPr>
        <w:t>חיות</w:t>
      </w:r>
      <w:r>
        <w:rPr>
          <w:rtl/>
        </w:rPr>
        <w:t xml:space="preserve">, המצטטת בסיפא את פסקה 20 לפסק דינו של השופט </w:t>
      </w:r>
      <w:r>
        <w:rPr>
          <w:rFonts w:ascii="Century" w:hAnsi="Century" w:cs="Miriam"/>
          <w:b/>
          <w:spacing w:val="0"/>
          <w:szCs w:val="24"/>
          <w:rtl/>
        </w:rPr>
        <w:t>הנדל</w:t>
      </w:r>
      <w:r>
        <w:rPr>
          <w:rtl/>
        </w:rPr>
        <w:t xml:space="preserve">). </w:t>
      </w:r>
    </w:p>
    <w:p w:rsidR="00EB2082" w:rsidRDefault="00EB2082" w:rsidP="00EB2082">
      <w:pPr>
        <w:pStyle w:val="Ruller40"/>
        <w:rPr>
          <w:rFonts w:ascii="Century" w:hAnsi="Century"/>
          <w:rtl/>
        </w:rPr>
      </w:pPr>
    </w:p>
    <w:p w:rsidR="00EB2082" w:rsidRDefault="00EB2082" w:rsidP="00EB2082">
      <w:pPr>
        <w:pStyle w:val="Ruller40"/>
        <w:ind w:firstLine="720"/>
        <w:rPr>
          <w:rFonts w:ascii="Century" w:hAnsi="Century"/>
          <w:rtl/>
        </w:rPr>
      </w:pPr>
      <w:r>
        <w:rPr>
          <w:rFonts w:ascii="Century" w:hAnsi="Century"/>
          <w:sz w:val="28"/>
          <w:rtl/>
        </w:rPr>
        <w:t xml:space="preserve">אזכיר כי סעיף 76 </w:t>
      </w:r>
      <w:r>
        <w:rPr>
          <w:rFonts w:ascii="Century" w:hAnsi="Century"/>
          <w:rtl/>
        </w:rPr>
        <w:t xml:space="preserve">לחוק המאבק בטרור, ביטל </w:t>
      </w:r>
      <w:r>
        <w:rPr>
          <w:rFonts w:ascii="Century" w:hAnsi="Century"/>
          <w:sz w:val="28"/>
          <w:rtl/>
        </w:rPr>
        <w:t>רבות מהוראות תקנות ההגנה</w:t>
      </w:r>
      <w:r>
        <w:rPr>
          <w:rFonts w:ascii="Century" w:hAnsi="Century"/>
          <w:rtl/>
        </w:rPr>
        <w:t xml:space="preserve">, אך אלה שנותרו על כנן </w:t>
      </w:r>
      <w:r>
        <w:rPr>
          <w:rtl/>
        </w:rPr>
        <w:t xml:space="preserve">חוסות תחת הגנת פסקת שמירת הדינים </w:t>
      </w:r>
      <w:r>
        <w:rPr>
          <w:rFonts w:ascii="Century" w:hAnsi="Century"/>
          <w:rtl/>
        </w:rPr>
        <w:t xml:space="preserve">שבסעיף 10 לחוק יסוד: כבוד האדם וחירותו, </w:t>
      </w:r>
      <w:r>
        <w:rPr>
          <w:rtl/>
        </w:rPr>
        <w:t>הגם שפירושן צריך להיעשות על רקע חוקי היסוד</w:t>
      </w:r>
      <w:r>
        <w:rPr>
          <w:rFonts w:ascii="Century" w:hAnsi="Century"/>
          <w:rtl/>
        </w:rPr>
        <w:t xml:space="preserve"> (בג"ץ 5837/15 </w:t>
      </w:r>
      <w:r>
        <w:rPr>
          <w:rFonts w:ascii="Century" w:hAnsi="Century" w:cs="Miriam"/>
          <w:b/>
          <w:spacing w:val="0"/>
          <w:szCs w:val="24"/>
          <w:rtl/>
        </w:rPr>
        <w:t>סידר נ' מפקד כוחות צה"ל בגדר המערבית</w:t>
      </w:r>
      <w:r>
        <w:rPr>
          <w:rFonts w:ascii="Century" w:hAnsi="Century"/>
          <w:rtl/>
        </w:rPr>
        <w:t xml:space="preserve">, פסקה 1 לפסק דינו של השופט </w:t>
      </w:r>
      <w:proofErr w:type="spellStart"/>
      <w:r>
        <w:rPr>
          <w:rFonts w:ascii="Century" w:hAnsi="Century" w:cs="Miriam"/>
          <w:b/>
          <w:spacing w:val="0"/>
          <w:szCs w:val="24"/>
          <w:rtl/>
        </w:rPr>
        <w:t>פוגלמן</w:t>
      </w:r>
      <w:proofErr w:type="spellEnd"/>
      <w:r>
        <w:rPr>
          <w:rFonts w:ascii="Century" w:hAnsi="Century"/>
          <w:rtl/>
        </w:rPr>
        <w:t xml:space="preserve"> (15.10.2015)). </w:t>
      </w:r>
    </w:p>
    <w:p w:rsidR="00EB2082" w:rsidRDefault="00EB2082" w:rsidP="00EB2082">
      <w:pPr>
        <w:pStyle w:val="Ruller40"/>
        <w:rPr>
          <w:rtl/>
        </w:rPr>
      </w:pPr>
    </w:p>
    <w:p w:rsidR="00EB2082" w:rsidRDefault="00EB2082" w:rsidP="00EB2082">
      <w:pPr>
        <w:pStyle w:val="Ruller40"/>
        <w:rPr>
          <w:rFonts w:ascii="Century" w:hAnsi="Century" w:cs="Miriam"/>
          <w:b/>
          <w:spacing w:val="0"/>
          <w:szCs w:val="24"/>
          <w:rtl/>
        </w:rPr>
      </w:pPr>
      <w:r>
        <w:rPr>
          <w:rFonts w:ascii="Century" w:hAnsi="Century" w:cs="Miriam"/>
          <w:b/>
          <w:spacing w:val="0"/>
          <w:szCs w:val="24"/>
          <w:rtl/>
        </w:rPr>
        <w:t xml:space="preserve">מהתם </w:t>
      </w:r>
      <w:proofErr w:type="spellStart"/>
      <w:r>
        <w:rPr>
          <w:rFonts w:ascii="Century" w:hAnsi="Century" w:cs="Miriam"/>
          <w:b/>
          <w:spacing w:val="0"/>
          <w:szCs w:val="24"/>
          <w:rtl/>
        </w:rPr>
        <w:t>להכא</w:t>
      </w:r>
      <w:proofErr w:type="spellEnd"/>
    </w:p>
    <w:p w:rsidR="00EB2082" w:rsidRDefault="00EB2082" w:rsidP="00EB2082">
      <w:pPr>
        <w:pStyle w:val="Ruller40"/>
        <w:rPr>
          <w:rFonts w:ascii="Century" w:hAnsi="Century" w:cs="Miriam"/>
          <w:b/>
          <w:spacing w:val="0"/>
          <w:szCs w:val="24"/>
          <w:rtl/>
        </w:rPr>
      </w:pPr>
    </w:p>
    <w:p w:rsidR="00EB2082" w:rsidRDefault="00EB2082" w:rsidP="00EB2082">
      <w:pPr>
        <w:pStyle w:val="Ruller40"/>
        <w:rPr>
          <w:rtl/>
        </w:rPr>
      </w:pPr>
      <w:r>
        <w:rPr>
          <w:rtl/>
        </w:rPr>
        <w:t>19.</w:t>
      </w:r>
      <w:r>
        <w:rPr>
          <w:rtl/>
        </w:rPr>
        <w:tab/>
        <w:t xml:space="preserve">לאחר שעמדנו על מקור הסמכות והמסגרת הנורמטיבית, אבחן את המקרה שלפנינו. </w:t>
      </w:r>
    </w:p>
    <w:p w:rsidR="00EB2082" w:rsidRDefault="00EB2082" w:rsidP="00EB2082">
      <w:pPr>
        <w:pStyle w:val="Ruller40"/>
        <w:rPr>
          <w:rtl/>
        </w:rPr>
      </w:pPr>
    </w:p>
    <w:p w:rsidR="00EB2082" w:rsidRDefault="00EB2082" w:rsidP="00EB2082">
      <w:pPr>
        <w:pStyle w:val="Ruller40"/>
        <w:rPr>
          <w:rFonts w:ascii="Century" w:hAnsi="Century"/>
          <w:rtl/>
        </w:rPr>
      </w:pPr>
      <w:r>
        <w:rPr>
          <w:rtl/>
        </w:rPr>
        <w:lastRenderedPageBreak/>
        <w:tab/>
        <w:t xml:space="preserve">עניינו של דקה הוא תקדימי בהיבט זה, שזו הפעם הראשונה שהמדינה מחליטה להחזיק בגופת מחבל אזרח ישראל. כאמור, בתחילת הדרך, הוחזקו גופות מחבלי חמאס </w:t>
      </w:r>
      <w:r>
        <w:rPr>
          <w:rFonts w:ascii="Century" w:hAnsi="Century"/>
          <w:rtl/>
        </w:rPr>
        <w:t xml:space="preserve">או גופות מחבלים שביצעו אירוע טרור חריג במיוחד; בהמשך, ועל פי החלטת הקבינט השנייה, הוחזקו גופות מחבלים גם ללא שיוך ארגוני לחמאס וגם אם הפיגוע לא הסתיים במוות, וכפי שציין השופט </w:t>
      </w:r>
      <w:r>
        <w:rPr>
          <w:rFonts w:ascii="Century" w:hAnsi="Century" w:cs="Miriam"/>
          <w:b/>
          <w:spacing w:val="0"/>
          <w:szCs w:val="24"/>
          <w:rtl/>
        </w:rPr>
        <w:t>הנדל</w:t>
      </w:r>
      <w:r>
        <w:rPr>
          <w:rFonts w:ascii="Century" w:hAnsi="Century"/>
          <w:rtl/>
        </w:rPr>
        <w:t xml:space="preserve"> בעניין </w:t>
      </w:r>
      <w:r>
        <w:rPr>
          <w:rFonts w:ascii="Century" w:hAnsi="Century" w:cs="Miriam"/>
          <w:b/>
          <w:spacing w:val="0"/>
          <w:szCs w:val="24"/>
          <w:rtl/>
        </w:rPr>
        <w:t>עריקאת</w:t>
      </w:r>
      <w:r>
        <w:rPr>
          <w:rFonts w:ascii="Century" w:hAnsi="Century"/>
          <w:rtl/>
        </w:rPr>
        <w:t>, "</w:t>
      </w:r>
      <w:r>
        <w:rPr>
          <w:rtl/>
        </w:rPr>
        <w:t>ההחלטה החדשה מרחיבה את היקף החזקת גופות המחבלים ביחס לקודמתה, והופכת את חריג ההחזקה לכלל" (שם, פסקה 6)</w:t>
      </w:r>
      <w:r>
        <w:rPr>
          <w:rFonts w:ascii="Century" w:hAnsi="Century"/>
          <w:rtl/>
        </w:rPr>
        <w:t xml:space="preserve">; בהמשך, הפרקטיקה של החזקת גופות מחבלים הורחבה גם במקרים שבהם המחבלים לא נהרגו בפיגוע אלא מתו בבית סוהר; וכעת ולראשונה – הוחלט להחזיק בגופת מחבל </w:t>
      </w:r>
      <w:r>
        <w:rPr>
          <w:rFonts w:ascii="Century" w:hAnsi="Century" w:cs="Miriam"/>
          <w:b/>
          <w:spacing w:val="0"/>
          <w:szCs w:val="24"/>
          <w:rtl/>
        </w:rPr>
        <w:t>אזרח ישראלי</w:t>
      </w:r>
      <w:r>
        <w:rPr>
          <w:rFonts w:ascii="Century" w:hAnsi="Century"/>
          <w:rtl/>
        </w:rPr>
        <w:t xml:space="preserve"> שמת בעודו במאסר 38 שנה לאחר הפיגוע שביצע. </w:t>
      </w:r>
    </w:p>
    <w:p w:rsidR="00EB2082" w:rsidRDefault="00EB2082" w:rsidP="00EB2082">
      <w:pPr>
        <w:pStyle w:val="Ruller40"/>
        <w:rPr>
          <w:rFonts w:ascii="Century" w:hAnsi="Century"/>
          <w:rtl/>
        </w:rPr>
      </w:pPr>
    </w:p>
    <w:p w:rsidR="00EB2082" w:rsidRDefault="00EB2082" w:rsidP="00EB2082">
      <w:pPr>
        <w:pStyle w:val="Ruller40"/>
        <w:rPr>
          <w:rFonts w:ascii="Century" w:hAnsi="Century"/>
          <w:rtl/>
        </w:rPr>
      </w:pPr>
      <w:r>
        <w:rPr>
          <w:rFonts w:ascii="Century" w:hAnsi="Century"/>
          <w:rtl/>
        </w:rPr>
        <w:tab/>
        <w:t xml:space="preserve">אין חולק כי החלת החלטות הקבינט הראשונה והשנייה גם על אזרח ישראלי שביצע מעשה טרור היא בבחינת חריגה מהמדיניות הנהוגה (ראו, לדוגמה, עניין </w:t>
      </w:r>
      <w:proofErr w:type="spellStart"/>
      <w:r>
        <w:rPr>
          <w:rFonts w:ascii="Century" w:hAnsi="Century" w:cs="Miriam"/>
          <w:b/>
          <w:spacing w:val="0"/>
          <w:szCs w:val="24"/>
          <w:rtl/>
        </w:rPr>
        <w:t>ג'בארין</w:t>
      </w:r>
      <w:proofErr w:type="spellEnd"/>
      <w:r>
        <w:rPr>
          <w:rFonts w:ascii="Century" w:hAnsi="Century"/>
          <w:rtl/>
        </w:rPr>
        <w:t xml:space="preserve"> שם הוחלט שלא להחזיק בגופות והדיון נסב על התנאים לקיום ההלוויה). אך כאמור, אין מניעה עקרונית להפעיל את תקנה 133(3) לתקנות ההגנה גם על גופת אזרח ישראלי, וענייננו אפוא אינו במישור הסמכות אלא במישור הפעלת שיקול הדעת. </w:t>
      </w:r>
    </w:p>
    <w:p w:rsidR="00EB2082" w:rsidRDefault="00EB2082" w:rsidP="00EB2082">
      <w:pPr>
        <w:pStyle w:val="Ruller40"/>
        <w:rPr>
          <w:rFonts w:ascii="Century" w:hAnsi="Century"/>
          <w:rtl/>
        </w:rPr>
      </w:pPr>
    </w:p>
    <w:p w:rsidR="00EB2082" w:rsidRDefault="00EB2082" w:rsidP="00EB2082">
      <w:pPr>
        <w:pStyle w:val="Ruller40"/>
        <w:rPr>
          <w:rFonts w:ascii="Century" w:hAnsi="Century"/>
          <w:rtl/>
        </w:rPr>
      </w:pPr>
      <w:r>
        <w:rPr>
          <w:rFonts w:ascii="Century" w:hAnsi="Century"/>
          <w:rtl/>
        </w:rPr>
        <w:t>20.</w:t>
      </w:r>
      <w:r>
        <w:rPr>
          <w:rFonts w:ascii="Century" w:hAnsi="Century"/>
          <w:rtl/>
        </w:rPr>
        <w:tab/>
        <w:t xml:space="preserve">במצב הדברים הרגיל, גופת מחבל מוחזקת על ידי המדינה מאחר שהמחבל נהרג במהלך ביצוע מעשה הטרור. מצב חריג הוא שהמחבל נתפס בחיים אך מת במשמורת שב"ס בעודו מרצה את עונשו, והמדינה מבקשת להחזיק בגופתו. גם במצב לא שכיח זה, בית משפט זה אישר את החזקת הגופה (כפי שעולה מדחיית העתירה בבג"ץ 4274/18 </w:t>
      </w:r>
      <w:proofErr w:type="spellStart"/>
      <w:r>
        <w:rPr>
          <w:rFonts w:ascii="Century" w:hAnsi="Century" w:cs="Miriam"/>
          <w:b/>
          <w:spacing w:val="0"/>
          <w:szCs w:val="24"/>
          <w:rtl/>
        </w:rPr>
        <w:t>עויסאת</w:t>
      </w:r>
      <w:proofErr w:type="spellEnd"/>
      <w:r>
        <w:rPr>
          <w:rFonts w:ascii="Century" w:hAnsi="Century" w:cs="Miriam"/>
          <w:b/>
          <w:spacing w:val="0"/>
          <w:szCs w:val="24"/>
          <w:rtl/>
        </w:rPr>
        <w:t xml:space="preserve"> נ' משטרת ישראל</w:t>
      </w:r>
      <w:r>
        <w:rPr>
          <w:rFonts w:ascii="Century" w:hAnsi="Century"/>
          <w:rtl/>
        </w:rPr>
        <w:t xml:space="preserve"> (14.4.2022), שם היה מדובר במחבל עם שיוך ארגוני לחמאס). המקרה שלפנינו חריג עוד יותר, מאחר שדקה, אזרח ישראלי, מת אומנם בכלא, אך </w:t>
      </w:r>
      <w:r>
        <w:rPr>
          <w:rFonts w:ascii="Century" w:hAnsi="Century" w:cs="Miriam"/>
          <w:b/>
          <w:spacing w:val="0"/>
          <w:szCs w:val="24"/>
          <w:rtl/>
        </w:rPr>
        <w:t>לאחר</w:t>
      </w:r>
      <w:r>
        <w:rPr>
          <w:rFonts w:ascii="Century" w:hAnsi="Century"/>
          <w:rtl/>
        </w:rPr>
        <w:t xml:space="preserve"> שסיים לרצות את עונש המאסר שבגינו הורשע מלכתחילה. אסביר. </w:t>
      </w:r>
    </w:p>
    <w:p w:rsidR="00EB2082" w:rsidRDefault="00EB2082" w:rsidP="00EB2082">
      <w:pPr>
        <w:pStyle w:val="Ruller40"/>
        <w:rPr>
          <w:rtl/>
        </w:rPr>
      </w:pPr>
    </w:p>
    <w:p w:rsidR="00EB2082" w:rsidRDefault="00EB2082" w:rsidP="00EB2082">
      <w:pPr>
        <w:pStyle w:val="Ruller40"/>
        <w:rPr>
          <w:rFonts w:ascii="Century" w:hAnsi="Century"/>
          <w:rtl/>
        </w:rPr>
      </w:pPr>
      <w:r>
        <w:rPr>
          <w:rFonts w:ascii="Century" w:hAnsi="Century"/>
          <w:rtl/>
        </w:rPr>
        <w:tab/>
        <w:t xml:space="preserve">על דקה הוטל עונש מאסר עולם אך נשיא המדינה קצב את עונשו, באופן חריג, ל-37 שנים. בעקבות </w:t>
      </w:r>
      <w:proofErr w:type="spellStart"/>
      <w:r>
        <w:rPr>
          <w:rFonts w:ascii="Century" w:hAnsi="Century"/>
          <w:rtl/>
        </w:rPr>
        <w:t>קציבת</w:t>
      </w:r>
      <w:proofErr w:type="spellEnd"/>
      <w:r>
        <w:rPr>
          <w:rFonts w:ascii="Century" w:hAnsi="Century"/>
          <w:rtl/>
        </w:rPr>
        <w:t xml:space="preserve"> העונש, דקה סיים לרצות את עונשו בגין רצח החייל משה </w:t>
      </w:r>
      <w:proofErr w:type="spellStart"/>
      <w:r>
        <w:rPr>
          <w:rFonts w:ascii="Century" w:hAnsi="Century"/>
          <w:rtl/>
        </w:rPr>
        <w:t>תמם</w:t>
      </w:r>
      <w:proofErr w:type="spellEnd"/>
      <w:r>
        <w:rPr>
          <w:rFonts w:ascii="Century" w:hAnsi="Century"/>
          <w:rtl/>
        </w:rPr>
        <w:t xml:space="preserve"> ז"ל כבר בחודש מרץ 2023, שנה לפני מותו. כאמור, דקה נותר במאסר ובמשמורת שב"ס, לאחר שהורשע בניסיון להבריח טלפון סלולרי לבית הכלא, עבירה שאינה קשורה למעשה הטרור הנפשע שבו הורשע. </w:t>
      </w:r>
    </w:p>
    <w:p w:rsidR="00EB2082" w:rsidRDefault="00EB2082" w:rsidP="00EB2082">
      <w:pPr>
        <w:pStyle w:val="Ruller40"/>
        <w:rPr>
          <w:rFonts w:ascii="Century" w:hAnsi="Century"/>
          <w:rtl/>
        </w:rPr>
      </w:pPr>
    </w:p>
    <w:p w:rsidR="00EB2082" w:rsidRDefault="00EB2082" w:rsidP="00EB2082">
      <w:pPr>
        <w:pStyle w:val="Ruller40"/>
        <w:rPr>
          <w:rtl/>
        </w:rPr>
      </w:pPr>
      <w:r>
        <w:rPr>
          <w:rFonts w:ascii="Century" w:hAnsi="Century"/>
          <w:rtl/>
        </w:rPr>
        <w:t>21.</w:t>
      </w:r>
      <w:r>
        <w:rPr>
          <w:rFonts w:ascii="Century" w:hAnsi="Century"/>
          <w:rtl/>
        </w:rPr>
        <w:tab/>
        <w:t xml:space="preserve">על אף הקושי שלכאורה נובע מכך שדקה סיים לרצות 37 שנים בכלא, כתקופת המאסר שנקצבה לו בגין רצח החייל </w:t>
      </w:r>
      <w:proofErr w:type="spellStart"/>
      <w:r>
        <w:rPr>
          <w:rFonts w:ascii="Century" w:hAnsi="Century"/>
          <w:rtl/>
        </w:rPr>
        <w:t>תמם</w:t>
      </w:r>
      <w:proofErr w:type="spellEnd"/>
      <w:r>
        <w:rPr>
          <w:rFonts w:ascii="Century" w:hAnsi="Century"/>
          <w:rtl/>
        </w:rPr>
        <w:t xml:space="preserve"> ז"ל, ניתנה לכך תשובה בפסיקה </w:t>
      </w:r>
      <w:proofErr w:type="spellStart"/>
      <w:r>
        <w:rPr>
          <w:rFonts w:ascii="Century" w:hAnsi="Century"/>
          <w:rtl/>
        </w:rPr>
        <w:t>ברע"ב</w:t>
      </w:r>
      <w:proofErr w:type="spellEnd"/>
      <w:r>
        <w:rPr>
          <w:rFonts w:ascii="Century" w:hAnsi="Century"/>
          <w:rtl/>
        </w:rPr>
        <w:t xml:space="preserve"> 3248/12 </w:t>
      </w:r>
      <w:r>
        <w:rPr>
          <w:rFonts w:ascii="Century" w:hAnsi="Century" w:cs="Miriam"/>
          <w:b/>
          <w:spacing w:val="0"/>
          <w:szCs w:val="24"/>
          <w:rtl/>
        </w:rPr>
        <w:t>עמר נ' ועדת שחרורים מיוחדת-מחוז מרכז</w:t>
      </w:r>
      <w:r>
        <w:rPr>
          <w:rFonts w:ascii="Century" w:hAnsi="Century"/>
          <w:rtl/>
        </w:rPr>
        <w:t xml:space="preserve"> (2.1.2013)). באותו מקרה נדון מצב </w:t>
      </w:r>
      <w:r>
        <w:rPr>
          <w:rFonts w:ascii="Century" w:hAnsi="Century"/>
          <w:rtl/>
        </w:rPr>
        <w:lastRenderedPageBreak/>
        <w:t xml:space="preserve">קיצוני אף יותר מענייננו – אסיר שסיים לרצות תקופת מאסר עולם שנקצב בגין רצח של ארבעה אנשים, שוחרר על תנאי, ובחלוף שלוש שנים ביצע עבירה נוספת של ניסיון רצח, שבגינה ריצה מאסר נוסף. נקבע שעניינו של אותו אסיר יידון בוועדת שחרורים מיוחדת וכי </w:t>
      </w:r>
      <w:r>
        <w:rPr>
          <w:rtl/>
        </w:rPr>
        <w:t>הגדרת אסיר כ"אסיר עולם" נמשכת גם במצב שבו סיים האסיר לרצות תקופת מאסר עולם שנקצב, וכעת מרצה הוא עונש מאסר נוסף שהצטבר לתקופה האמורה:</w:t>
      </w:r>
    </w:p>
    <w:p w:rsidR="00EB2082" w:rsidRDefault="00EB2082" w:rsidP="00EB2082">
      <w:pPr>
        <w:pStyle w:val="Ruller50"/>
        <w:rPr>
          <w:rFonts w:ascii="Century" w:hAnsi="Century"/>
          <w:rtl/>
        </w:rPr>
      </w:pPr>
    </w:p>
    <w:p w:rsidR="00EB2082" w:rsidRDefault="00EB2082" w:rsidP="00EB2082">
      <w:pPr>
        <w:pStyle w:val="Ruller50"/>
        <w:rPr>
          <w:rFonts w:ascii="Century" w:hAnsi="Century"/>
          <w:rtl/>
        </w:rPr>
      </w:pPr>
      <w:r>
        <w:rPr>
          <w:rFonts w:ascii="Century" w:hAnsi="Century"/>
          <w:rtl/>
        </w:rPr>
        <w:t>"</w:t>
      </w:r>
      <w:r>
        <w:rPr>
          <w:rFonts w:ascii="Century" w:hAnsi="Century" w:cs="Miriam"/>
          <w:b/>
          <w:spacing w:val="0"/>
          <w:szCs w:val="24"/>
          <w:rtl/>
        </w:rPr>
        <w:t>מבחינה עיונית ניתן לומר כי נכון לסווג את המאסר שמרצה האסיר כיחידה אחת, על אף שתקופת המאסר מורכבת מהליכים משפטיים שונים ומעבירות שונות</w:t>
      </w:r>
      <w:r>
        <w:rPr>
          <w:rFonts w:ascii="Century" w:hAnsi="Century"/>
          <w:rtl/>
        </w:rPr>
        <w:t xml:space="preserve">. זוהי אמת המידה בעולם הענישה של ריצוי עונש מאסר בבית סוהר. תוצאה אחרת עלולה לחטוא לכוונת המחוקק ותכליתו ביחס לעונש מאסר עולם. ודוק, הנני מתמקד בשאלה של בחינת שחרור האסיר במנגנון המיוחד של ועדת שחרורים מיוחדת. לעניין זה, </w:t>
      </w:r>
      <w:r>
        <w:rPr>
          <w:rFonts w:ascii="Century" w:hAnsi="Century" w:cs="Miriam"/>
          <w:b/>
          <w:spacing w:val="0"/>
          <w:szCs w:val="24"/>
          <w:rtl/>
        </w:rPr>
        <w:t>נדמה שיהא זה מלאכותי לפרק את עונשו של אסיר לחוליות תקופה שונות, שכן תוצאה כזו אינה משקפת נאמנה את סיווגו של האסיר כמרצה עונש מאסר עולם או עונש מאסר 'רגיל'. אף אם תקופת מאסר העולם הסתיימה</w:t>
      </w:r>
      <w:r>
        <w:rPr>
          <w:rFonts w:ascii="Century" w:hAnsi="Century"/>
          <w:rtl/>
        </w:rPr>
        <w:t xml:space="preserve">, המבקש עודנו אסיר אשר נגזר עליו מאסר עולם. זאת במסגרת אותו מאסר המרוצה על ידיו כיום" (שם, פסקה 5 להחלטתו של השופט </w:t>
      </w:r>
      <w:r>
        <w:rPr>
          <w:rFonts w:ascii="Century" w:hAnsi="Century" w:cs="Miriam"/>
          <w:b/>
          <w:spacing w:val="0"/>
          <w:szCs w:val="24"/>
          <w:rtl/>
        </w:rPr>
        <w:t>הנדל</w:t>
      </w:r>
      <w:r>
        <w:rPr>
          <w:rFonts w:ascii="Century" w:hAnsi="Century"/>
          <w:rtl/>
        </w:rPr>
        <w:t xml:space="preserve">, הדגשה הוספה – </w:t>
      </w:r>
      <w:proofErr w:type="spellStart"/>
      <w:r>
        <w:rPr>
          <w:rFonts w:ascii="Century" w:hAnsi="Century"/>
          <w:rtl/>
        </w:rPr>
        <w:t>י"ע</w:t>
      </w:r>
      <w:proofErr w:type="spellEnd"/>
      <w:r>
        <w:rPr>
          <w:rFonts w:ascii="Century" w:hAnsi="Century"/>
          <w:rtl/>
        </w:rPr>
        <w:t>).</w:t>
      </w:r>
    </w:p>
    <w:p w:rsidR="00EB2082" w:rsidRDefault="00EB2082" w:rsidP="00EB2082">
      <w:pPr>
        <w:pStyle w:val="Ruller50"/>
        <w:rPr>
          <w:rFonts w:ascii="Century" w:hAnsi="Century"/>
          <w:rtl/>
        </w:rPr>
      </w:pPr>
      <w:r>
        <w:rPr>
          <w:rFonts w:ascii="Century" w:hAnsi="Century"/>
          <w:rtl/>
        </w:rPr>
        <w:t xml:space="preserve"> </w:t>
      </w:r>
    </w:p>
    <w:p w:rsidR="00EB2082" w:rsidRDefault="00EB2082" w:rsidP="00EB2082">
      <w:pPr>
        <w:pStyle w:val="Ruller40"/>
        <w:rPr>
          <w:rFonts w:ascii="Century" w:hAnsi="Century"/>
          <w:rtl/>
        </w:rPr>
      </w:pPr>
      <w:r>
        <w:rPr>
          <w:rFonts w:ascii="Century" w:hAnsi="Century"/>
          <w:rtl/>
        </w:rPr>
        <w:tab/>
        <w:t>אציין כי החלטה זו עמדה לנגד עיני ועדת השחרורים בהחלטתה מיום 31.5.2023, (</w:t>
      </w:r>
      <w:proofErr w:type="spellStart"/>
      <w:r>
        <w:rPr>
          <w:rFonts w:ascii="Century" w:hAnsi="Century"/>
          <w:rtl/>
        </w:rPr>
        <w:t>וש"ר</w:t>
      </w:r>
      <w:proofErr w:type="spellEnd"/>
      <w:r>
        <w:rPr>
          <w:rFonts w:ascii="Century" w:hAnsi="Century"/>
          <w:rtl/>
        </w:rPr>
        <w:t xml:space="preserve"> 26569-05-23) שבה נקבע כי יש לראות את דקה כ"אסיר עולם" למרות שריצה כבר 37 שנות מאסר. כך נפסק גם בפסק דינו של בית המשפט המחוזי, שהורה על דחיית העתירה נגד החלטת ועדת השחרורים המיוחדת (עת"א 18237-07-23 </w:t>
      </w:r>
      <w:r>
        <w:rPr>
          <w:rFonts w:ascii="Century" w:hAnsi="Century" w:cs="Miriam"/>
          <w:b/>
          <w:spacing w:val="0"/>
          <w:szCs w:val="24"/>
          <w:rtl/>
        </w:rPr>
        <w:t>דקה נ' ועדת שחרורים מיוחדת במקום מושבה בבית המשפט השלום ברמלה</w:t>
      </w:r>
      <w:r>
        <w:rPr>
          <w:rFonts w:ascii="Century" w:hAnsi="Century"/>
          <w:rtl/>
        </w:rPr>
        <w:t xml:space="preserve"> (7.8.2023), בקשת רשות ערעור על החלטה זו נדחתה (בר"מ 6322/23 הנזכר לעיל). אכן, החלטות אלה עניינן בשאלה איזו ועדה תדון בעניינו של האסיר, אך הרציונל שלהן יפה גם לענייננו. </w:t>
      </w:r>
    </w:p>
    <w:p w:rsidR="00EB2082" w:rsidRDefault="00EB2082" w:rsidP="00EB2082">
      <w:pPr>
        <w:pStyle w:val="Ruller40"/>
        <w:rPr>
          <w:rtl/>
        </w:rPr>
      </w:pPr>
    </w:p>
    <w:p w:rsidR="00EB2082" w:rsidRDefault="00EB2082" w:rsidP="00EB2082">
      <w:pPr>
        <w:pStyle w:val="Ruller40"/>
        <w:rPr>
          <w:rtl/>
        </w:rPr>
      </w:pPr>
      <w:r>
        <w:rPr>
          <w:rtl/>
        </w:rPr>
        <w:t>22.</w:t>
      </w:r>
      <w:r>
        <w:rPr>
          <w:rtl/>
        </w:rPr>
        <w:tab/>
        <w:t xml:space="preserve">עמדנו על כך שהסמכות נתונה למפקד הצבאי (במקרה דנן, מפקד פיקוד העורף) מכוח תקנה 133(3) לתקנות ההגנה, בעוד שהחלטת הקבינט היא הנחיית מדיניות שניתנת למפקד הצבאי לצורך הפעלת שיקול דעתו מכוח תקנה זו. אך למרבה הפליאה, עד עתה לא הוצא צו מטעמו של מפקד פיקוד העורף. כפי שהוסבר על ידי המדינה במהלך הדיון, הדבר נעשה בשל הגשתה של העתירה דנן, על מנת שלא לשנות את מצב הדברים כל עוד העתירה תלויה ועומדת. גם בתגובה הראשונית של המדינה מיום 21.4.2024, במענה להחלטת השופט </w:t>
      </w:r>
      <w:r>
        <w:rPr>
          <w:rFonts w:ascii="Century" w:hAnsi="Century" w:cs="Miriam"/>
          <w:b/>
          <w:spacing w:val="0"/>
          <w:szCs w:val="24"/>
          <w:rtl/>
        </w:rPr>
        <w:t>כבוב</w:t>
      </w:r>
      <w:r>
        <w:rPr>
          <w:rtl/>
        </w:rPr>
        <w:t xml:space="preserve"> מיום 16.4.2024, ציינה המדינה כי "עד להשלמת התהליך ומתן </w:t>
      </w:r>
      <w:r>
        <w:rPr>
          <w:rtl/>
        </w:rPr>
        <w:lastRenderedPageBreak/>
        <w:t xml:space="preserve">החלטה סופית (וכל עוד העתירה דנן תלויה ועומדת), הגופה מושא העתירה תוחזק בידי רשויות המדינה, ולא תיקבר". </w:t>
      </w:r>
    </w:p>
    <w:p w:rsidR="00EB2082" w:rsidRDefault="00EB2082" w:rsidP="00EB2082">
      <w:pPr>
        <w:pStyle w:val="Ruller40"/>
        <w:rPr>
          <w:rtl/>
        </w:rPr>
      </w:pPr>
    </w:p>
    <w:p w:rsidR="00EB2082" w:rsidRDefault="00EB2082" w:rsidP="00EB2082">
      <w:pPr>
        <w:pStyle w:val="Ruller40"/>
        <w:rPr>
          <w:rtl/>
        </w:rPr>
      </w:pPr>
      <w:r>
        <w:rPr>
          <w:rtl/>
        </w:rPr>
        <w:tab/>
        <w:t xml:space="preserve">כפי שהבהרנו במהלך הדיון, הגם שאי הוצאת הצו נעשתה מתוך רצון שלא לייתר את העתירה התלויה ועומדת, סדר הדברים הנכון הוא הוצאת צו והתלייתו עד להכרעה בעתירה. כך נעשה, כדבר שבשגרה, לגבי תקנה 119 לתקנות ההגנה, כשהמפקד הצבאי מוציא צו הריסה, ואם מוגשת עתירה, ביצוע הצו מעוכב עד להכרעה בהליך המשפטי. מכל מקום, בא כוח המדינה הבהיר כי לאור הערתנו זו, כך ינהג המפקד הצבאי מכאן ואילך. </w:t>
      </w:r>
    </w:p>
    <w:p w:rsidR="00EB2082" w:rsidRDefault="00EB2082" w:rsidP="00EB2082">
      <w:pPr>
        <w:pStyle w:val="Ruller40"/>
        <w:rPr>
          <w:rtl/>
        </w:rPr>
      </w:pPr>
    </w:p>
    <w:p w:rsidR="00EB2082" w:rsidRDefault="00EB2082" w:rsidP="00EB2082">
      <w:pPr>
        <w:pStyle w:val="Ruller40"/>
        <w:rPr>
          <w:rtl/>
        </w:rPr>
      </w:pPr>
      <w:r>
        <w:rPr>
          <w:rtl/>
        </w:rPr>
        <w:t>23.</w:t>
      </w:r>
      <w:r>
        <w:rPr>
          <w:rtl/>
        </w:rPr>
        <w:tab/>
        <w:t xml:space="preserve">בעניין </w:t>
      </w:r>
      <w:r>
        <w:rPr>
          <w:rFonts w:ascii="Century" w:hAnsi="Century" w:cs="Miriam"/>
          <w:b/>
          <w:spacing w:val="0"/>
          <w:szCs w:val="24"/>
          <w:rtl/>
        </w:rPr>
        <w:t>עריקאת</w:t>
      </w:r>
      <w:r>
        <w:rPr>
          <w:rtl/>
        </w:rPr>
        <w:t xml:space="preserve"> הוחזקה הגופה על ידי המפקד הצבאי במשך למעלה מחודשיים בניגוד להחלטת הקבינט הראשונה, ובמהלך הדיון הראשון באותה עתירה וגם בתצהיר התשובה הבהיר היועץ המשפטי לממשלה כי אם החלטת הקבינט הראשונה לא תשונה בתוך זמן קצוב, לא יהא מנוס מלהפוך את הצו על תנאי שהוצא לצו מוחלט. בהמשך, התקבלה החלטת הקבינט השנייה, והעתירה נדחתה בדעת רוב השופטים. אני סברתי בדעת מיעוט כי מאחר שגופתו של עריקאת הוחזקה שלא כדין משך למעלה מחודשיים בניגוד להחלטת הקבינט הראשונה, יש לעשות את הצו למוחלט ולהורות על השבת הגופה. </w:t>
      </w:r>
    </w:p>
    <w:p w:rsidR="00EB2082" w:rsidRDefault="00EB2082" w:rsidP="00EB2082">
      <w:pPr>
        <w:pStyle w:val="Ruller40"/>
        <w:rPr>
          <w:rtl/>
        </w:rPr>
      </w:pPr>
    </w:p>
    <w:p w:rsidR="00EB2082" w:rsidRDefault="00EB2082" w:rsidP="00EB2082">
      <w:pPr>
        <w:pStyle w:val="Ruller40"/>
        <w:rPr>
          <w:rFonts w:ascii="Century" w:hAnsi="Century"/>
          <w:rtl/>
        </w:rPr>
      </w:pPr>
      <w:r>
        <w:rPr>
          <w:rtl/>
        </w:rPr>
        <w:tab/>
        <w:t xml:space="preserve">לכאורה, כך נעשה גם במקרה שלפנינו, מאחר שעד להחלטת הקבינט, החזקת גופתו של דקה נעשתה בניגוד למדיניות </w:t>
      </w:r>
      <w:r>
        <w:rPr>
          <w:rFonts w:ascii="Century" w:hAnsi="Century"/>
          <w:rtl/>
        </w:rPr>
        <w:t xml:space="preserve">שלא להחזיק גופות מחבלים אזרחי ישראל לתכלית </w:t>
      </w:r>
      <w:proofErr w:type="spellStart"/>
      <w:r>
        <w:rPr>
          <w:rFonts w:ascii="Century" w:hAnsi="Century"/>
          <w:rtl/>
        </w:rPr>
        <w:t>שו"ן</w:t>
      </w:r>
      <w:proofErr w:type="spellEnd"/>
      <w:r>
        <w:rPr>
          <w:rFonts w:ascii="Century" w:hAnsi="Century"/>
          <w:rtl/>
        </w:rPr>
        <w:t xml:space="preserve">. למרות זאת, גופתו של דקה הוחזקה כחודשיים בהמתנה להחלטה קונקרטית אשר </w:t>
      </w:r>
      <w:proofErr w:type="spellStart"/>
      <w:r>
        <w:rPr>
          <w:rFonts w:ascii="Century" w:hAnsi="Century"/>
          <w:rtl/>
        </w:rPr>
        <w:t>תחריג</w:t>
      </w:r>
      <w:proofErr w:type="spellEnd"/>
      <w:r>
        <w:rPr>
          <w:rFonts w:ascii="Century" w:hAnsi="Century"/>
          <w:rtl/>
        </w:rPr>
        <w:t xml:space="preserve"> את המקרה שלו מהמדיניות הכללית שעדיין נותרה בתוקפה. </w:t>
      </w:r>
    </w:p>
    <w:p w:rsidR="00EB2082" w:rsidRDefault="00EB2082" w:rsidP="00EB2082">
      <w:pPr>
        <w:pStyle w:val="Ruller40"/>
        <w:rPr>
          <w:rFonts w:ascii="Century" w:hAnsi="Century"/>
          <w:rtl/>
        </w:rPr>
      </w:pPr>
    </w:p>
    <w:p w:rsidR="00EB2082" w:rsidRDefault="00EB2082" w:rsidP="00EB2082">
      <w:pPr>
        <w:pStyle w:val="Ruller40"/>
        <w:rPr>
          <w:rtl/>
        </w:rPr>
      </w:pPr>
      <w:r>
        <w:rPr>
          <w:rFonts w:ascii="Century" w:hAnsi="Century"/>
          <w:rtl/>
        </w:rPr>
        <w:tab/>
        <w:t xml:space="preserve">על קושי זה אשיב בשניים. ראשית, לנוכח דעת הרוב בעניין </w:t>
      </w:r>
      <w:r>
        <w:rPr>
          <w:rFonts w:ascii="Century" w:hAnsi="Century" w:cs="Miriam"/>
          <w:b/>
          <w:spacing w:val="0"/>
          <w:szCs w:val="24"/>
          <w:rtl/>
        </w:rPr>
        <w:t>עריקאת</w:t>
      </w:r>
      <w:r>
        <w:rPr>
          <w:rFonts w:ascii="Century" w:hAnsi="Century"/>
          <w:rtl/>
        </w:rPr>
        <w:t xml:space="preserve">, המקרה דנן אינו מעורר קושי. שנית, במישור המהותי, עניינו של דקה שונה מעניין </w:t>
      </w:r>
      <w:r>
        <w:rPr>
          <w:rFonts w:ascii="Century" w:hAnsi="Century" w:cs="Miriam"/>
          <w:b/>
          <w:spacing w:val="0"/>
          <w:szCs w:val="24"/>
          <w:rtl/>
        </w:rPr>
        <w:t>עריקאת</w:t>
      </w:r>
      <w:r>
        <w:rPr>
          <w:rFonts w:ascii="Century" w:hAnsi="Century"/>
          <w:rtl/>
        </w:rPr>
        <w:t>, מאחר שעניינו נופל ברשתן של החלטות הקבינט הראשונה והשנייה, החלטות שאינן מתייחסות לשאלת אזרחותו של המחבל. כך, גופתו נמנית על "</w:t>
      </w:r>
      <w:r>
        <w:rPr>
          <w:rtl/>
        </w:rPr>
        <w:t xml:space="preserve">גופות מחבלים שביצעו אירוע טרור חריג במיוחד" והיא בעלת "הקשר מיוחד" כאמור בהחלטת הקבינט הראשונה, </w:t>
      </w:r>
      <w:r>
        <w:rPr>
          <w:rFonts w:ascii="Century" w:hAnsi="Century"/>
          <w:rtl/>
        </w:rPr>
        <w:t xml:space="preserve">שכן כפי שיורחב בהמשך, </w:t>
      </w:r>
      <w:r>
        <w:rPr>
          <w:rtl/>
        </w:rPr>
        <w:t>ברבות השנים הפך דקה לסמל שאומץ גם על ידי ארגון החמאס, ומעשה הטרור שביצע קיבל הד מיוחד.</w:t>
      </w:r>
    </w:p>
    <w:p w:rsidR="00EB2082" w:rsidRDefault="00EB2082" w:rsidP="00EB2082">
      <w:pPr>
        <w:pStyle w:val="Ruller40"/>
        <w:rPr>
          <w:rFonts w:ascii="Century" w:hAnsi="Century"/>
          <w:rtl/>
        </w:rPr>
      </w:pPr>
    </w:p>
    <w:p w:rsidR="00EB2082" w:rsidRDefault="00EB2082" w:rsidP="00EB2082">
      <w:pPr>
        <w:pStyle w:val="Ruller40"/>
        <w:rPr>
          <w:rFonts w:ascii="Century" w:hAnsi="Century"/>
          <w:rtl/>
        </w:rPr>
      </w:pPr>
      <w:r>
        <w:rPr>
          <w:rtl/>
        </w:rPr>
        <w:lastRenderedPageBreak/>
        <w:t>24.</w:t>
      </w:r>
      <w:r>
        <w:rPr>
          <w:rtl/>
        </w:rPr>
        <w:tab/>
        <w:t xml:space="preserve">דקה ריצה 38 שנות מאסר ונחשב לוותיק האסירים </w:t>
      </w:r>
      <w:proofErr w:type="spellStart"/>
      <w:r>
        <w:rPr>
          <w:rtl/>
        </w:rPr>
        <w:t>הבטחוניים</w:t>
      </w:r>
      <w:proofErr w:type="spellEnd"/>
      <w:r>
        <w:rPr>
          <w:rtl/>
        </w:rPr>
        <w:t>. מחבלים רוצחים עם דם רב על הידיים, כאלה שנדונו למספר מאסרי עולם, שוחררו למרבה הצער בעסקאות שונות. בחייו של דקה סירבו לראות בו קלף מיקוח, והנה, לאחר מותו, גופתו נעשתה לקלף מיקוח. לא בכדי בכל העסקאות שבוצעו לאורך השנים, המדינה ניצבה איתן ועמדה על כך שדקה לא ישוחרר, בהיותו אזרח ישראלי. זאת, בשל השלכות הרוחב הכרוכות בשחרור אזרח ישראלי במסגרת עסקה עם ארגוני טרור בכלל וארגון הטרור חמאס. לא בכדי</w:t>
      </w:r>
      <w:r>
        <w:rPr>
          <w:rFonts w:ascii="Century" w:hAnsi="Century"/>
          <w:rtl/>
        </w:rPr>
        <w:t xml:space="preserve"> </w:t>
      </w:r>
      <w:proofErr w:type="spellStart"/>
      <w:r>
        <w:rPr>
          <w:rFonts w:ascii="Century" w:hAnsi="Century"/>
          <w:rtl/>
        </w:rPr>
        <w:t>המל"ל</w:t>
      </w:r>
      <w:proofErr w:type="spellEnd"/>
      <w:r>
        <w:rPr>
          <w:rFonts w:ascii="Century" w:hAnsi="Century"/>
          <w:rtl/>
        </w:rPr>
        <w:t xml:space="preserve"> המליץ לשמר את המדינות הנוכחית שלא להחזיק גופות מחבלים אזרחי ישראל לתכלית </w:t>
      </w:r>
      <w:proofErr w:type="spellStart"/>
      <w:r>
        <w:rPr>
          <w:rFonts w:ascii="Century" w:hAnsi="Century"/>
          <w:rtl/>
        </w:rPr>
        <w:t>שו"ן</w:t>
      </w:r>
      <w:proofErr w:type="spellEnd"/>
      <w:r>
        <w:rPr>
          <w:rFonts w:ascii="Century" w:hAnsi="Century"/>
          <w:rtl/>
        </w:rPr>
        <w:t xml:space="preserve"> בכפוף למקרים חריגים מאוד. לא בכדי ציינה המדינה בתגובתה כי בענייננו "הוצגו דעות מקצועיות שונות </w:t>
      </w:r>
      <w:r>
        <w:rPr>
          <w:rFonts w:ascii="Century" w:hAnsi="Century" w:cs="Miriam"/>
          <w:b/>
          <w:spacing w:val="0"/>
          <w:szCs w:val="24"/>
          <w:rtl/>
        </w:rPr>
        <w:t>ואף מנוגדות</w:t>
      </w:r>
      <w:r>
        <w:rPr>
          <w:rFonts w:ascii="Century" w:hAnsi="Century"/>
          <w:rtl/>
        </w:rPr>
        <w:t xml:space="preserve"> מטעם גופים רלוונטיים שונים", ומשמעות הדבר היא, שהמלצת </w:t>
      </w:r>
      <w:proofErr w:type="spellStart"/>
      <w:r>
        <w:rPr>
          <w:rFonts w:ascii="Century" w:hAnsi="Century"/>
          <w:rtl/>
        </w:rPr>
        <w:t>השו"ן</w:t>
      </w:r>
      <w:proofErr w:type="spellEnd"/>
      <w:r>
        <w:rPr>
          <w:rFonts w:ascii="Century" w:hAnsi="Century"/>
          <w:rtl/>
        </w:rPr>
        <w:t xml:space="preserve"> שאומצה על ידי שר הביטחון ואושררה בקבינט, </w:t>
      </w:r>
      <w:r>
        <w:rPr>
          <w:rFonts w:ascii="Century" w:hAnsi="Century" w:cs="Miriam"/>
          <w:b/>
          <w:spacing w:val="0"/>
          <w:szCs w:val="24"/>
          <w:rtl/>
        </w:rPr>
        <w:t>אינה</w:t>
      </w:r>
      <w:r>
        <w:rPr>
          <w:rFonts w:ascii="Century" w:hAnsi="Century"/>
          <w:rtl/>
        </w:rPr>
        <w:t xml:space="preserve"> מקובלת על כל גורמי הביטחון. ודוק: מובן כי שר הביטחון והקבינט מוסמכים להכריע במחלוקת בין גורמי ביטחון שונים ולבכר דעתו של גוף אחד על פני משנהו על פי שיקול דעתם. אך המחלוקת בין גורמי הביטחון יכולה להעיד כי אל מול שיקול </w:t>
      </w:r>
      <w:proofErr w:type="spellStart"/>
      <w:r>
        <w:rPr>
          <w:rFonts w:ascii="Century" w:hAnsi="Century"/>
          <w:rtl/>
        </w:rPr>
        <w:t>השו"ן</w:t>
      </w:r>
      <w:proofErr w:type="spellEnd"/>
      <w:r>
        <w:rPr>
          <w:rFonts w:ascii="Century" w:hAnsi="Century"/>
          <w:rtl/>
        </w:rPr>
        <w:t xml:space="preserve">, ניצבים גם שיקולים אחרים, באספקלריה רחבה יותר של נגזרות ציבוריות-חברתיות, שיקולים אשר שוללים יצירת זיקה בין גופתו של דקה לבין ארגון החמאס. </w:t>
      </w:r>
    </w:p>
    <w:p w:rsidR="00EB2082" w:rsidRDefault="00EB2082" w:rsidP="00EB2082">
      <w:pPr>
        <w:pStyle w:val="Ruller40"/>
        <w:rPr>
          <w:rtl/>
        </w:rPr>
      </w:pPr>
    </w:p>
    <w:p w:rsidR="00EB2082" w:rsidRDefault="00EB2082" w:rsidP="00EB2082">
      <w:pPr>
        <w:pStyle w:val="Ruller40"/>
        <w:rPr>
          <w:rtl/>
        </w:rPr>
      </w:pPr>
      <w:r>
        <w:rPr>
          <w:rtl/>
        </w:rPr>
        <w:t>25.</w:t>
      </w:r>
      <w:r>
        <w:rPr>
          <w:rtl/>
        </w:rPr>
        <w:tab/>
        <w:t xml:space="preserve">אולם, אין חולק כי למרבה הצער, מציאות </w:t>
      </w:r>
      <w:proofErr w:type="spellStart"/>
      <w:r>
        <w:rPr>
          <w:rtl/>
        </w:rPr>
        <w:t>השו"ן</w:t>
      </w:r>
      <w:proofErr w:type="spellEnd"/>
      <w:r>
        <w:rPr>
          <w:rtl/>
        </w:rPr>
        <w:t xml:space="preserve"> שקדמה ליום 7.10.2023 אינה המציאות שבה אנו עומדים כיום ויש לתת לדברים משקל ממשי.   </w:t>
      </w:r>
    </w:p>
    <w:p w:rsidR="00EB2082" w:rsidRDefault="00EB2082" w:rsidP="00EB2082">
      <w:pPr>
        <w:pStyle w:val="Ruller40"/>
        <w:rPr>
          <w:rtl/>
        </w:rPr>
      </w:pPr>
    </w:p>
    <w:p w:rsidR="00EB2082" w:rsidRDefault="00EB2082" w:rsidP="00EB2082">
      <w:pPr>
        <w:pStyle w:val="Ruller40"/>
        <w:rPr>
          <w:rtl/>
        </w:rPr>
      </w:pPr>
      <w:r>
        <w:rPr>
          <w:rtl/>
        </w:rPr>
        <w:tab/>
        <w:t xml:space="preserve">בשבעה לאוקטובר 2023, ניחת על המדינה האסון הגדול ביותר בתולדות כ-150 שנות ההתיישבות היהודית הציונית בארץ ישראל. בבוקר שבת, חג שמחת תורה, ארגוני הטרור פלשו לגבול ישראל, ותחת מטריה של ירי רקטי מאסיבי, חדרו ליישובי עוטף עזה, רצחו וטבחו למעלה מ-1,200 איש ביניהם גברים, נשים, קשישים וטף, אזרחים ואנשי כוחות הביטחון. המחבלים פצעו אלפי אנשים בגוף ובנפש, אנסו, בזזו, שרפו וזרעו הרס בדרכם. במהלך המתקפה הרצחנית נחטפו כ-240 איש לתוך שטח הרצועה, מטף ועד זקן, ונחטפו גם גופות של ישראלים. המצב כיום הוא, שארגון החמאס מחזיק בגופות אלה וגם בגופות של ישראלים שנחטפו בחיים ומתו בעת היותם בשבי החמאס </w:t>
      </w:r>
      <w:proofErr w:type="spellStart"/>
      <w:r>
        <w:rPr>
          <w:rtl/>
        </w:rPr>
        <w:t>והג'האד</w:t>
      </w:r>
      <w:proofErr w:type="spellEnd"/>
      <w:r>
        <w:rPr>
          <w:rtl/>
        </w:rPr>
        <w:t xml:space="preserve"> האסלאמי. מספר הגופות שבידי חמאס עלה אפוא דרמטית בעקבות המלחמה, ובהתאם, מציאות </w:t>
      </w:r>
      <w:proofErr w:type="spellStart"/>
      <w:r>
        <w:rPr>
          <w:rtl/>
        </w:rPr>
        <w:t>השו"ן</w:t>
      </w:r>
      <w:proofErr w:type="spellEnd"/>
      <w:r>
        <w:rPr>
          <w:rtl/>
        </w:rPr>
        <w:t xml:space="preserve"> העדכנית השתנתה אף היא באופן דרמטי. לכך, כפי שיוסבר להלן, יש השלכה על המקרה המיוחד שלפנינו. </w:t>
      </w:r>
    </w:p>
    <w:p w:rsidR="00EB2082" w:rsidRDefault="00EB2082" w:rsidP="00EB2082">
      <w:pPr>
        <w:pStyle w:val="Ruller40"/>
        <w:rPr>
          <w:rtl/>
        </w:rPr>
      </w:pPr>
    </w:p>
    <w:p w:rsidR="00EB2082" w:rsidRDefault="00EB2082" w:rsidP="00EB2082">
      <w:pPr>
        <w:pStyle w:val="Ruller40"/>
        <w:rPr>
          <w:rtl/>
        </w:rPr>
      </w:pPr>
      <w:r>
        <w:rPr>
          <w:rtl/>
        </w:rPr>
        <w:t>26.</w:t>
      </w:r>
      <w:r>
        <w:rPr>
          <w:rtl/>
        </w:rPr>
        <w:tab/>
        <w:t xml:space="preserve">בעניין </w:t>
      </w:r>
      <w:proofErr w:type="spellStart"/>
      <w:r>
        <w:rPr>
          <w:rFonts w:ascii="Century" w:hAnsi="Century" w:cs="Miriam"/>
          <w:b/>
          <w:spacing w:val="0"/>
          <w:szCs w:val="24"/>
          <w:rtl/>
        </w:rPr>
        <w:t>עליאן</w:t>
      </w:r>
      <w:proofErr w:type="spellEnd"/>
      <w:r>
        <w:rPr>
          <w:rtl/>
        </w:rPr>
        <w:t xml:space="preserve">; </w:t>
      </w:r>
      <w:proofErr w:type="spellStart"/>
      <w:r>
        <w:rPr>
          <w:rtl/>
        </w:rPr>
        <w:t>ב</w:t>
      </w:r>
      <w:r>
        <w:rPr>
          <w:rFonts w:ascii="Century" w:hAnsi="Century" w:cs="Miriam"/>
          <w:b/>
          <w:spacing w:val="0"/>
          <w:szCs w:val="24"/>
          <w:rtl/>
        </w:rPr>
        <w:t>דנג"ץ</w:t>
      </w:r>
      <w:proofErr w:type="spellEnd"/>
      <w:r>
        <w:rPr>
          <w:rtl/>
        </w:rPr>
        <w:t xml:space="preserve"> </w:t>
      </w:r>
      <w:proofErr w:type="spellStart"/>
      <w:r>
        <w:rPr>
          <w:rFonts w:ascii="Century" w:hAnsi="Century" w:cs="Miriam"/>
          <w:b/>
          <w:spacing w:val="0"/>
          <w:szCs w:val="24"/>
          <w:rtl/>
        </w:rPr>
        <w:t>עליאן</w:t>
      </w:r>
      <w:proofErr w:type="spellEnd"/>
      <w:r>
        <w:rPr>
          <w:rtl/>
        </w:rPr>
        <w:t xml:space="preserve">; ובעניין </w:t>
      </w:r>
      <w:r>
        <w:rPr>
          <w:rFonts w:ascii="Century" w:hAnsi="Century" w:cs="Miriam"/>
          <w:b/>
          <w:spacing w:val="0"/>
          <w:szCs w:val="24"/>
          <w:rtl/>
        </w:rPr>
        <w:t>עריקאת</w:t>
      </w:r>
      <w:r>
        <w:rPr>
          <w:rtl/>
        </w:rPr>
        <w:t xml:space="preserve">, טענה המדינה כי החזקת גופות המחבלים עשויה לסייע בהשגת עסקה קונקרטית עם ארגון החמאס, שמחזיק בגופות </w:t>
      </w:r>
      <w:r>
        <w:rPr>
          <w:rtl/>
        </w:rPr>
        <w:lastRenderedPageBreak/>
        <w:t xml:space="preserve">חיילי צה"ל סגן הדר </w:t>
      </w:r>
      <w:proofErr w:type="spellStart"/>
      <w:r>
        <w:rPr>
          <w:rtl/>
        </w:rPr>
        <w:t>גולדין</w:t>
      </w:r>
      <w:proofErr w:type="spellEnd"/>
      <w:r>
        <w:rPr>
          <w:rtl/>
        </w:rPr>
        <w:t xml:space="preserve"> ז"ל וסמ"ר אורון שאול ז"ל ובאזרחי ישראל אברה מנגיסטו והישאם </w:t>
      </w:r>
      <w:proofErr w:type="spellStart"/>
      <w:r>
        <w:rPr>
          <w:rtl/>
        </w:rPr>
        <w:t>אלסייד</w:t>
      </w:r>
      <w:proofErr w:type="spellEnd"/>
      <w:r>
        <w:rPr>
          <w:rtl/>
        </w:rPr>
        <w:t xml:space="preserve">. אלא שכל ההערכות, הציפיות, והתקוות לעסקה התבדו. </w:t>
      </w:r>
    </w:p>
    <w:p w:rsidR="00EB2082" w:rsidRDefault="00EB2082" w:rsidP="00EB2082">
      <w:pPr>
        <w:pStyle w:val="Ruller40"/>
        <w:rPr>
          <w:rtl/>
        </w:rPr>
      </w:pPr>
    </w:p>
    <w:p w:rsidR="00EB2082" w:rsidRDefault="00EB2082" w:rsidP="00EB2082">
      <w:pPr>
        <w:pStyle w:val="Ruller40"/>
        <w:rPr>
          <w:rtl/>
        </w:rPr>
      </w:pPr>
      <w:r>
        <w:rPr>
          <w:rtl/>
        </w:rPr>
        <w:tab/>
        <w:t xml:space="preserve">אלא שזו הפעם, נטען על ידי המדינה בסעיף 76 לתצהיר התשובה, כי במסגרת המו"מ על עסקת </w:t>
      </w:r>
      <w:proofErr w:type="spellStart"/>
      <w:r>
        <w:rPr>
          <w:rtl/>
        </w:rPr>
        <w:t>השו"ן</w:t>
      </w:r>
      <w:proofErr w:type="spellEnd"/>
      <w:r>
        <w:rPr>
          <w:rtl/>
        </w:rPr>
        <w:t xml:space="preserve">, בנוסף </w:t>
      </w:r>
      <w:r>
        <w:rPr>
          <w:rFonts w:ascii="Century" w:hAnsi="Century"/>
          <w:rtl/>
        </w:rPr>
        <w:t xml:space="preserve">לחילופי חטופים ישראלים כנגד אסירים פלסטיניים חיים, </w:t>
      </w:r>
      <w:r>
        <w:rPr>
          <w:rtl/>
        </w:rPr>
        <w:t>החמאס מבקש לייצר גם משוואה של "גופות תמורת גופות". מצאנו כי המשוואה של "גופות תמורת גופות" מעוגנת בחומר שהוצג בפנינו. אך בכך אין כדי להשיב, מה לגופתו של דקה ולמשוואה זו. בתגובתה המקדמית של המדינה, לא מצאנו התייחסות לשאלה מה לחמאס ולדקה, שבשעתו היה חבר בארגון הטרור של החזית העממית. אולם בתצהיר התשובה הצביעה המדינה על חשיבותה של גופת דקה בעיני החמאס, הגם שאינו משויך לחמאס.</w:t>
      </w:r>
    </w:p>
    <w:p w:rsidR="00EB2082" w:rsidRDefault="00EB2082" w:rsidP="00EB2082">
      <w:pPr>
        <w:pStyle w:val="Ruller40"/>
        <w:rPr>
          <w:rtl/>
        </w:rPr>
      </w:pPr>
    </w:p>
    <w:p w:rsidR="00EB2082" w:rsidRDefault="00EB2082" w:rsidP="00EB2082">
      <w:pPr>
        <w:pStyle w:val="Ruller40"/>
        <w:rPr>
          <w:rtl/>
        </w:rPr>
      </w:pPr>
      <w:r>
        <w:rPr>
          <w:rtl/>
        </w:rPr>
        <w:tab/>
        <w:t xml:space="preserve">בנאום שנשא יחיא </w:t>
      </w:r>
      <w:proofErr w:type="spellStart"/>
      <w:r>
        <w:rPr>
          <w:rtl/>
        </w:rPr>
        <w:t>סינוואר</w:t>
      </w:r>
      <w:proofErr w:type="spellEnd"/>
      <w:r>
        <w:rPr>
          <w:rtl/>
        </w:rPr>
        <w:t xml:space="preserve"> ביום 14.12.2022 (עוד בטרם מותו של דקה) נאמר:</w:t>
      </w:r>
    </w:p>
    <w:p w:rsidR="00EB2082" w:rsidRDefault="00EB2082" w:rsidP="00EB2082">
      <w:pPr>
        <w:pStyle w:val="Ruller50"/>
        <w:rPr>
          <w:rtl/>
        </w:rPr>
      </w:pPr>
    </w:p>
    <w:p w:rsidR="00EB2082" w:rsidRDefault="00EB2082" w:rsidP="00EB2082">
      <w:pPr>
        <w:pStyle w:val="Ruller50"/>
        <w:rPr>
          <w:rtl/>
        </w:rPr>
      </w:pPr>
      <w:r>
        <w:rPr>
          <w:rtl/>
        </w:rPr>
        <w:t xml:space="preserve"> "[...] דרישותינו היו ברורות, שחרור עצורי עסקת שליט, האסירות, הצעירים, החולים ובראשם האסיר המפקד מגדודי </w:t>
      </w:r>
      <w:proofErr w:type="spellStart"/>
      <w:r>
        <w:rPr>
          <w:rtl/>
        </w:rPr>
        <w:t>אלאקצא</w:t>
      </w:r>
      <w:proofErr w:type="spellEnd"/>
      <w:r>
        <w:rPr>
          <w:rtl/>
        </w:rPr>
        <w:t xml:space="preserve"> נאצר אבו חמדי, </w:t>
      </w:r>
      <w:r>
        <w:rPr>
          <w:rFonts w:ascii="Century" w:hAnsi="Century" w:cs="Miriam"/>
          <w:b/>
          <w:spacing w:val="0"/>
          <w:szCs w:val="24"/>
          <w:rtl/>
        </w:rPr>
        <w:t>והאסיר המפקד מהחזית העממית וליד דקה</w:t>
      </w:r>
      <w:r>
        <w:rPr>
          <w:rtl/>
        </w:rPr>
        <w:t xml:space="preserve">, הגופות המוחזקות והאסירים הוותיקים, תמורת העברתם לכיבוש של מנגיסטו </w:t>
      </w:r>
      <w:proofErr w:type="spellStart"/>
      <w:r>
        <w:rPr>
          <w:rtl/>
        </w:rPr>
        <w:t>ואלסיד</w:t>
      </w:r>
      <w:proofErr w:type="spellEnd"/>
      <w:r>
        <w:rPr>
          <w:rtl/>
        </w:rPr>
        <w:t xml:space="preserve">, ושתי תיבות שחורות, בהן יש או את גופותיהם של הדר ושאול, או הוכחות כי הם בחיים. לאחר מכן נשלים את העסקה (על פי מתווה) עסקת שליט" (הדגשה הוספה – </w:t>
      </w:r>
      <w:proofErr w:type="spellStart"/>
      <w:r>
        <w:rPr>
          <w:rtl/>
        </w:rPr>
        <w:t>י"ע</w:t>
      </w:r>
      <w:proofErr w:type="spellEnd"/>
      <w:r>
        <w:rPr>
          <w:rtl/>
        </w:rPr>
        <w:t>).</w:t>
      </w:r>
    </w:p>
    <w:p w:rsidR="00EB2082" w:rsidRDefault="00EB2082" w:rsidP="00323F8A">
      <w:pPr>
        <w:pStyle w:val="Ruller40"/>
        <w:rPr>
          <w:rtl/>
        </w:rPr>
      </w:pPr>
    </w:p>
    <w:p w:rsidR="00EB2082" w:rsidRDefault="00EB2082" w:rsidP="00EB2082">
      <w:pPr>
        <w:pStyle w:val="Ruller40"/>
        <w:rPr>
          <w:rtl/>
        </w:rPr>
      </w:pPr>
      <w:r>
        <w:rPr>
          <w:rtl/>
        </w:rPr>
        <w:tab/>
        <w:t xml:space="preserve">בערוץ </w:t>
      </w:r>
      <w:proofErr w:type="spellStart"/>
      <w:r>
        <w:rPr>
          <w:rtl/>
        </w:rPr>
        <w:t>הטלגרם</w:t>
      </w:r>
      <w:proofErr w:type="spellEnd"/>
      <w:r>
        <w:rPr>
          <w:rtl/>
        </w:rPr>
        <w:t xml:space="preserve"> של החמאס פורסם כי </w:t>
      </w:r>
      <w:proofErr w:type="spellStart"/>
      <w:r>
        <w:rPr>
          <w:rtl/>
        </w:rPr>
        <w:t>אסמאעיל</w:t>
      </w:r>
      <w:proofErr w:type="spellEnd"/>
      <w:r>
        <w:rPr>
          <w:rtl/>
        </w:rPr>
        <w:t xml:space="preserve"> הניה שוחח עם העותרת בטלפון ביום 25.5.2023: "האסיר שבריאותו התדרדרה בעקבות המאסר הארוך וההתקפות הציוניות נגדו בכלא [...]". הניה הוסיף כי בדעתו "לדבר עם מדינות ידידותיות כדי להקל על סבלו [...] הכיבוש נושא באחריות המלאה לחייו ולחיי כל האסירים בבתי הכלא". </w:t>
      </w:r>
    </w:p>
    <w:p w:rsidR="00EB2082" w:rsidRDefault="00EB2082" w:rsidP="00EB2082">
      <w:pPr>
        <w:pStyle w:val="Ruller40"/>
        <w:rPr>
          <w:rtl/>
        </w:rPr>
      </w:pPr>
      <w:r>
        <w:rPr>
          <w:rtl/>
        </w:rPr>
        <w:tab/>
      </w:r>
    </w:p>
    <w:p w:rsidR="00EB2082" w:rsidRDefault="00EB2082" w:rsidP="00EB2082">
      <w:pPr>
        <w:pStyle w:val="Ruller40"/>
        <w:rPr>
          <w:rtl/>
        </w:rPr>
      </w:pPr>
      <w:r>
        <w:rPr>
          <w:rtl/>
        </w:rPr>
        <w:tab/>
        <w:t xml:space="preserve">ביום 7.4.2024, </w:t>
      </w:r>
      <w:proofErr w:type="spellStart"/>
      <w:r>
        <w:rPr>
          <w:rtl/>
        </w:rPr>
        <w:t>זאהר</w:t>
      </w:r>
      <w:proofErr w:type="spellEnd"/>
      <w:r>
        <w:rPr>
          <w:rtl/>
        </w:rPr>
        <w:t xml:space="preserve"> </w:t>
      </w:r>
      <w:proofErr w:type="spellStart"/>
      <w:r>
        <w:rPr>
          <w:rtl/>
        </w:rPr>
        <w:t>ג'בארין</w:t>
      </w:r>
      <w:proofErr w:type="spellEnd"/>
      <w:r>
        <w:rPr>
          <w:rtl/>
        </w:rPr>
        <w:t>, ראש "משרד האסירים" בחמאס, פרסם הודעה על מותו של דקה, כהאי לישנא:</w:t>
      </w:r>
    </w:p>
    <w:p w:rsidR="00EB2082" w:rsidRDefault="00EB2082" w:rsidP="00EB2082">
      <w:pPr>
        <w:pStyle w:val="Ruller40"/>
        <w:rPr>
          <w:rtl/>
        </w:rPr>
      </w:pPr>
    </w:p>
    <w:p w:rsidR="00EB2082" w:rsidRDefault="00EB2082" w:rsidP="00EB2082">
      <w:pPr>
        <w:pStyle w:val="Ruller50"/>
        <w:rPr>
          <w:rtl/>
        </w:rPr>
      </w:pPr>
      <w:r>
        <w:rPr>
          <w:rtl/>
        </w:rPr>
        <w:t xml:space="preserve">"האסיר השהיד, המפקד וליד דקה, דימם, ואנחנו מחדשים את הברית שלנו עם האסירים עד שהם יזכו לחופש. אנו מתאבלים על העם הפלסטיני הגדול שלנו, על האומה האסלאמית והערבית שלנו ועל העם החופשי של העולם על מות האסיר, המפקד וליד דקה [בן 62], מבאקה </w:t>
      </w:r>
      <w:proofErr w:type="spellStart"/>
      <w:r>
        <w:rPr>
          <w:rtl/>
        </w:rPr>
        <w:t>אלגרביה</w:t>
      </w:r>
      <w:proofErr w:type="spellEnd"/>
      <w:r>
        <w:rPr>
          <w:rtl/>
        </w:rPr>
        <w:t xml:space="preserve"> בפנים, היה עצור במשך 38 שנים </w:t>
      </w:r>
      <w:r>
        <w:rPr>
          <w:rtl/>
        </w:rPr>
        <w:lastRenderedPageBreak/>
        <w:t>במהלכן סבל מסרטן ומרשלנות רפואית מכוונת שהובילה לרצח בבתי הכלא של הכיבוש הנאצי. בעיצומו של '</w:t>
      </w:r>
      <w:proofErr w:type="spellStart"/>
      <w:r>
        <w:rPr>
          <w:rtl/>
        </w:rPr>
        <w:t>טופאן</w:t>
      </w:r>
      <w:proofErr w:type="spellEnd"/>
      <w:r>
        <w:rPr>
          <w:rtl/>
        </w:rPr>
        <w:t xml:space="preserve"> </w:t>
      </w:r>
      <w:proofErr w:type="spellStart"/>
      <w:r>
        <w:rPr>
          <w:rtl/>
        </w:rPr>
        <w:t>אלאקצא</w:t>
      </w:r>
      <w:proofErr w:type="spellEnd"/>
      <w:r>
        <w:rPr>
          <w:rtl/>
        </w:rPr>
        <w:t>' ['מבול אל-</w:t>
      </w:r>
      <w:proofErr w:type="spellStart"/>
      <w:r>
        <w:rPr>
          <w:rtl/>
        </w:rPr>
        <w:t>אקצא</w:t>
      </w:r>
      <w:proofErr w:type="spellEnd"/>
      <w:r>
        <w:rPr>
          <w:rtl/>
        </w:rPr>
        <w:t xml:space="preserve">', השם של חמאס למלחמת 'חרבות ברזל' – </w:t>
      </w:r>
      <w:proofErr w:type="spellStart"/>
      <w:r>
        <w:rPr>
          <w:rtl/>
        </w:rPr>
        <w:t>י"ע</w:t>
      </w:r>
      <w:proofErr w:type="spellEnd"/>
      <w:r>
        <w:rPr>
          <w:rtl/>
        </w:rPr>
        <w:t xml:space="preserve">], ומאמצי ההתנגדות של העם הפלסטיני הגדול בעזה להגנת ירושלים </w:t>
      </w:r>
      <w:proofErr w:type="spellStart"/>
      <w:r>
        <w:rPr>
          <w:rtl/>
        </w:rPr>
        <w:t>ואלאקצא</w:t>
      </w:r>
      <w:proofErr w:type="spellEnd"/>
      <w:r>
        <w:rPr>
          <w:rtl/>
        </w:rPr>
        <w:t xml:space="preserve"> ובנאמנות לאסירים – הבה נחדש את הברית עם האסירים שלנו לחופש קרוב, למרות הכיבוש ומנהיגיו הניאו-נאצים [...]". </w:t>
      </w:r>
    </w:p>
    <w:p w:rsidR="00EB2082" w:rsidRDefault="00EB2082" w:rsidP="00323F8A">
      <w:pPr>
        <w:pStyle w:val="Ruller40"/>
        <w:rPr>
          <w:rtl/>
        </w:rPr>
      </w:pPr>
    </w:p>
    <w:p w:rsidR="00EB2082" w:rsidRDefault="00EB2082" w:rsidP="00EB2082">
      <w:pPr>
        <w:pStyle w:val="Ruller40"/>
      </w:pPr>
      <w:r>
        <w:rPr>
          <w:rtl/>
        </w:rPr>
        <w:tab/>
        <w:t xml:space="preserve">מכל אלה ניתן ללמוד כי דקה "אומץ" כסמל על ידי ארגוני הטרור, ויש בכך כדי להסביר מדוע הוחרג עניינו מהמדיניות העקרונית לפיה אין להחיל את החלטות הקבינט הראשונה והשנייה על גופות מחבלים אזרחי ישראל. אציין כי כפי שעולה מתשובת המדינה, גם לאחר פרוץ המלחמה, גופות של מחבלים אזרחי ישראל שוחררו למשפחותיהן לצורך קבורתם (בג"ץ 2833/24 ובג"ץ 3528/24 – בשני המקרים העתירות נמחקו מבלי שנתקיים דיון). עוד אזכיר כי ההמלצה העדכנית של </w:t>
      </w:r>
      <w:proofErr w:type="spellStart"/>
      <w:r>
        <w:rPr>
          <w:rtl/>
        </w:rPr>
        <w:t>המל"ל</w:t>
      </w:r>
      <w:proofErr w:type="spellEnd"/>
      <w:r>
        <w:rPr>
          <w:rtl/>
        </w:rPr>
        <w:t xml:space="preserve"> היא לשמר את המדיניות שלא להחזיק בגופות מחבלים אזרחי ישראל לצרכי </w:t>
      </w:r>
      <w:proofErr w:type="spellStart"/>
      <w:r>
        <w:rPr>
          <w:rtl/>
        </w:rPr>
        <w:t>שו"ן</w:t>
      </w:r>
      <w:proofErr w:type="spellEnd"/>
      <w:r>
        <w:rPr>
          <w:rtl/>
        </w:rPr>
        <w:t>, אלא במקרים חריגים. מכאן, שההחלטה לגבי גופתו של דקה חריגה גם על רקע מלחמת "חרבות ברזל".</w:t>
      </w:r>
    </w:p>
    <w:p w:rsidR="00EB2082" w:rsidRDefault="00EB2082" w:rsidP="00EB2082">
      <w:pPr>
        <w:pStyle w:val="Ruller40"/>
        <w:rPr>
          <w:rtl/>
        </w:rPr>
      </w:pPr>
    </w:p>
    <w:p w:rsidR="00EB2082" w:rsidRDefault="00EB2082" w:rsidP="00EB2082">
      <w:pPr>
        <w:pStyle w:val="Ruller40"/>
        <w:rPr>
          <w:rtl/>
        </w:rPr>
      </w:pPr>
      <w:r>
        <w:rPr>
          <w:rtl/>
        </w:rPr>
        <w:t>27.</w:t>
      </w:r>
      <w:r>
        <w:rPr>
          <w:rtl/>
        </w:rPr>
        <w:tab/>
        <w:t xml:space="preserve">מאחר שדקה הפך לסמל גם בעיני החמאס, יש בסיס להנחה כי לגופתו יינתן משקל-מה במשוואה של "גופות תמורת גופות", כך שאל מול כבוד המת של דקה ומשפחתו ניצבים כיום כבוד חללי צה"ל ואזרחי המדינה שגופותיהם מוחזקים בידי ארגוני הטרור ועקרון פדיון השבויים. בהינתן הערכת מנהלת </w:t>
      </w:r>
      <w:proofErr w:type="spellStart"/>
      <w:r>
        <w:rPr>
          <w:rtl/>
        </w:rPr>
        <w:t>השו"ן</w:t>
      </w:r>
      <w:proofErr w:type="spellEnd"/>
      <w:r>
        <w:rPr>
          <w:rtl/>
        </w:rPr>
        <w:t xml:space="preserve"> כי החזקת הגופה עשויה לקדם באופן אפקטיבי את התכלית של משא ומתן להשבת גופות חללי צה"ל ואזרחי ישראל, ההחלטה עומדת בדרישת הקשר הרציונלי על פי מבחן המשנה הראשון של עקרון המידתיות (וראו גם </w:t>
      </w:r>
      <w:proofErr w:type="spellStart"/>
      <w:r>
        <w:rPr>
          <w:rFonts w:ascii="Century" w:hAnsi="Century" w:cs="Miriam"/>
          <w:b/>
          <w:spacing w:val="0"/>
          <w:szCs w:val="24"/>
          <w:rtl/>
        </w:rPr>
        <w:t>דנג"ץ</w:t>
      </w:r>
      <w:proofErr w:type="spellEnd"/>
      <w:r>
        <w:rPr>
          <w:rFonts w:ascii="Century" w:hAnsi="Century" w:cs="Miriam"/>
          <w:b/>
          <w:spacing w:val="0"/>
          <w:szCs w:val="24"/>
          <w:rtl/>
        </w:rPr>
        <w:t xml:space="preserve"> </w:t>
      </w:r>
      <w:proofErr w:type="spellStart"/>
      <w:r>
        <w:rPr>
          <w:rFonts w:ascii="Century" w:hAnsi="Century" w:cs="Miriam"/>
          <w:b/>
          <w:spacing w:val="0"/>
          <w:szCs w:val="24"/>
          <w:rtl/>
        </w:rPr>
        <w:t>עליאן</w:t>
      </w:r>
      <w:proofErr w:type="spellEnd"/>
      <w:r>
        <w:rPr>
          <w:rtl/>
        </w:rPr>
        <w:t xml:space="preserve">, פסקה 36 לפסק דינה של הנשיאה </w:t>
      </w:r>
      <w:r>
        <w:rPr>
          <w:rFonts w:ascii="Century" w:hAnsi="Century" w:cs="Miriam"/>
          <w:b/>
          <w:spacing w:val="0"/>
          <w:szCs w:val="24"/>
          <w:rtl/>
        </w:rPr>
        <w:t>חיות</w:t>
      </w:r>
      <w:r>
        <w:rPr>
          <w:rtl/>
        </w:rPr>
        <w:t>). ככל שיש בהחזקת גופתו של דקה כדי לקדם את המשוואה של "גופות תמורת גופות", הרי שהתמלא גם מבחן המשנה השלישי, בהינתן חשיבות הערך הביטחוני-מוסרי של "שבו בנים לגבולם". בהקשר זה אפנה לדברים הבאים:</w:t>
      </w:r>
    </w:p>
    <w:p w:rsidR="00EB2082" w:rsidRDefault="00EB2082" w:rsidP="00EB2082">
      <w:pPr>
        <w:pStyle w:val="Ruller50"/>
        <w:rPr>
          <w:rtl/>
        </w:rPr>
      </w:pPr>
    </w:p>
    <w:p w:rsidR="00EB2082" w:rsidRDefault="00EB2082" w:rsidP="00EB2082">
      <w:pPr>
        <w:pStyle w:val="Ruller50"/>
        <w:rPr>
          <w:rtl/>
        </w:rPr>
      </w:pPr>
      <w:r>
        <w:rPr>
          <w:rtl/>
        </w:rPr>
        <w:t>"ענייננו, כזכור, בקבורה ארעית במהותה, ומכאן שגופות המחבלים יוחזרו בעתיד לקרובים, אם במסגרת עסקת חילופין ואם לאחר שעסקה כזו תרד מעל הפרק.</w:t>
      </w:r>
    </w:p>
    <w:p w:rsidR="00EB2082" w:rsidRDefault="00EB2082" w:rsidP="00EB2082">
      <w:pPr>
        <w:pStyle w:val="Ruller50"/>
        <w:rPr>
          <w:rtl/>
        </w:rPr>
      </w:pPr>
      <w:r>
        <w:rPr>
          <w:rtl/>
        </w:rPr>
        <w:t xml:space="preserve">[...] החלטות המפקד הצבאי עומדות אף במבחן של נזק מול תועלת [...] מדובר בהחלטות שפגיעתן בזכות המתים ומשפחותיהם לכבוד מצומצמת יחסית – ואינה ממוקדת במרכז הזכות. ענייננו בקבורה ארעית במהותה, שאינה מנתקת את זיקתם של בני משפחות המחבלים למתיהם – ואינה מונעת מהם, בהכרח, לפקוד את הקברים הארעיים, </w:t>
      </w:r>
      <w:r>
        <w:rPr>
          <w:rtl/>
        </w:rPr>
        <w:lastRenderedPageBreak/>
        <w:t xml:space="preserve">ואף ליטול חלק בקבורה (בכפוף, כמובן, לשיקולי ביטחון רלוונטיים). קבורת המחבלים בצורה ראויה, בהתאם למנהגי דתם, ובאופן המאפשר זיהוי עתידי של גופותיהם, מצמצמת עוד יותר את הפגיעה בכבודם. אשר על כן, באיזון בין פגיעה זו לבין התכליות הביטחוניות המהותיות הניצבות ביסוד המדיניות שמכוחה התקבלו החלטות המפקד הצבאי, הכף נוטה, מן הבחינה העקרונית, לזכות האחרונות" (עניין </w:t>
      </w:r>
      <w:proofErr w:type="spellStart"/>
      <w:r>
        <w:rPr>
          <w:rFonts w:ascii="Century" w:hAnsi="Century" w:cs="Miriam"/>
          <w:b/>
          <w:spacing w:val="0"/>
          <w:szCs w:val="24"/>
          <w:rtl/>
        </w:rPr>
        <w:t>עליאן</w:t>
      </w:r>
      <w:proofErr w:type="spellEnd"/>
      <w:r>
        <w:rPr>
          <w:rtl/>
        </w:rPr>
        <w:t xml:space="preserve">, פסקאות 22 ו-24 לפסק דינו של השופט </w:t>
      </w:r>
      <w:r>
        <w:rPr>
          <w:rFonts w:ascii="Century" w:hAnsi="Century" w:cs="Miriam"/>
          <w:b/>
          <w:spacing w:val="0"/>
          <w:szCs w:val="24"/>
          <w:rtl/>
        </w:rPr>
        <w:t>הנדל</w:t>
      </w:r>
      <w:r>
        <w:rPr>
          <w:rtl/>
        </w:rPr>
        <w:t xml:space="preserve">; </w:t>
      </w:r>
      <w:proofErr w:type="spellStart"/>
      <w:r>
        <w:rPr>
          <w:rFonts w:ascii="Century" w:hAnsi="Century" w:cs="Miriam"/>
          <w:b/>
          <w:spacing w:val="0"/>
          <w:szCs w:val="24"/>
          <w:rtl/>
        </w:rPr>
        <w:t>דנג"ץ</w:t>
      </w:r>
      <w:proofErr w:type="spellEnd"/>
      <w:r>
        <w:rPr>
          <w:rtl/>
        </w:rPr>
        <w:t xml:space="preserve"> </w:t>
      </w:r>
      <w:proofErr w:type="spellStart"/>
      <w:r>
        <w:rPr>
          <w:rFonts w:ascii="Century" w:hAnsi="Century" w:cs="Miriam"/>
          <w:b/>
          <w:spacing w:val="0"/>
          <w:szCs w:val="24"/>
          <w:rtl/>
        </w:rPr>
        <w:t>עליאן</w:t>
      </w:r>
      <w:proofErr w:type="spellEnd"/>
      <w:r>
        <w:rPr>
          <w:rtl/>
        </w:rPr>
        <w:t xml:space="preserve">, פסקה 36 לחוות דעת הנשיאה </w:t>
      </w:r>
      <w:r>
        <w:rPr>
          <w:rFonts w:ascii="Century" w:hAnsi="Century" w:cs="Miriam"/>
          <w:b/>
          <w:spacing w:val="0"/>
          <w:szCs w:val="24"/>
          <w:rtl/>
        </w:rPr>
        <w:t>א' חיות</w:t>
      </w:r>
      <w:r>
        <w:rPr>
          <w:rtl/>
        </w:rPr>
        <w:t>).</w:t>
      </w:r>
    </w:p>
    <w:p w:rsidR="00EB2082" w:rsidRPr="00323F8A" w:rsidRDefault="00EB2082" w:rsidP="00323F8A">
      <w:pPr>
        <w:pStyle w:val="Ruller40"/>
        <w:rPr>
          <w:sz w:val="16"/>
          <w:szCs w:val="22"/>
          <w:rtl/>
        </w:rPr>
      </w:pPr>
    </w:p>
    <w:p w:rsidR="00EB2082" w:rsidRDefault="00EB2082" w:rsidP="00EB2082">
      <w:pPr>
        <w:pStyle w:val="Ruller40"/>
        <w:rPr>
          <w:rtl/>
        </w:rPr>
      </w:pPr>
      <w:r>
        <w:rPr>
          <w:rtl/>
        </w:rPr>
        <w:tab/>
        <w:t xml:space="preserve">ועל כל אלה נוסיף כי בית משפט זה נוקט ריסון בביקורת שיפוטית על החלטות הקבינט בנושאים בעלי אופי ביטחוני מובהק (ראו, לדוגמה, </w:t>
      </w:r>
      <w:r>
        <w:rPr>
          <w:rFonts w:ascii="Century" w:hAnsi="Century"/>
          <w:rtl/>
        </w:rPr>
        <w:t>בג"ץ 9594/09</w:t>
      </w:r>
      <w:r>
        <w:rPr>
          <w:rtl/>
        </w:rPr>
        <w:t xml:space="preserve"> </w:t>
      </w:r>
      <w:r>
        <w:rPr>
          <w:rFonts w:ascii="Century" w:hAnsi="Century" w:cs="Miriam"/>
          <w:b/>
          <w:spacing w:val="0"/>
          <w:szCs w:val="24"/>
          <w:rtl/>
        </w:rPr>
        <w:t>פורום משפטי למען ארץ ישראל נ' ועדת השרים לענייני ביטחון לאומי</w:t>
      </w:r>
      <w:r>
        <w:rPr>
          <w:rtl/>
        </w:rPr>
        <w:t xml:space="preserve">, פסקה 13 והאסמכתאות שם (21.4.2010); על הנורמות המשפטיות המסדירות את עבודת הקבינט ראו עניין </w:t>
      </w:r>
      <w:proofErr w:type="spellStart"/>
      <w:r>
        <w:rPr>
          <w:rFonts w:ascii="Century" w:hAnsi="Century" w:cs="Miriam"/>
          <w:b/>
          <w:spacing w:val="0"/>
          <w:szCs w:val="24"/>
          <w:rtl/>
        </w:rPr>
        <w:t>עליאן</w:t>
      </w:r>
      <w:proofErr w:type="spellEnd"/>
      <w:r>
        <w:rPr>
          <w:rFonts w:ascii="Century" w:hAnsi="Century" w:cs="Miriam"/>
          <w:b/>
          <w:spacing w:val="0"/>
          <w:szCs w:val="24"/>
          <w:rtl/>
        </w:rPr>
        <w:t xml:space="preserve"> </w:t>
      </w:r>
      <w:r>
        <w:rPr>
          <w:rtl/>
        </w:rPr>
        <w:t xml:space="preserve">פסקה 10 לפסק דינו של השופט </w:t>
      </w:r>
      <w:proofErr w:type="spellStart"/>
      <w:r>
        <w:rPr>
          <w:rFonts w:ascii="Century" w:hAnsi="Century" w:cs="Miriam"/>
          <w:b/>
          <w:spacing w:val="0"/>
          <w:szCs w:val="24"/>
          <w:rtl/>
        </w:rPr>
        <w:t>דנציגר</w:t>
      </w:r>
      <w:proofErr w:type="spellEnd"/>
      <w:r>
        <w:rPr>
          <w:rtl/>
        </w:rPr>
        <w:t xml:space="preserve">). כאמור, במקרה דנן, המסקנה בחוות הדעת הביטחונית-מקצועית של מנהלת </w:t>
      </w:r>
      <w:proofErr w:type="spellStart"/>
      <w:r>
        <w:rPr>
          <w:rtl/>
        </w:rPr>
        <w:t>השו"ן</w:t>
      </w:r>
      <w:proofErr w:type="spellEnd"/>
      <w:r>
        <w:rPr>
          <w:rtl/>
        </w:rPr>
        <w:t xml:space="preserve"> היא כי בהיבט </w:t>
      </w:r>
      <w:proofErr w:type="spellStart"/>
      <w:r>
        <w:rPr>
          <w:rtl/>
        </w:rPr>
        <w:t>השו"ן</w:t>
      </w:r>
      <w:proofErr w:type="spellEnd"/>
      <w:r>
        <w:rPr>
          <w:rtl/>
        </w:rPr>
        <w:t xml:space="preserve"> יש ערך להחזקת גופתו של דקה, בהיותה בעלת "הקשר מיוחד" או "סמליות" בעיני החמאס. </w:t>
      </w:r>
    </w:p>
    <w:p w:rsidR="00EB2082" w:rsidRPr="00323F8A" w:rsidRDefault="00EB2082" w:rsidP="00EB2082">
      <w:pPr>
        <w:pStyle w:val="Ruller40"/>
        <w:rPr>
          <w:sz w:val="16"/>
          <w:szCs w:val="22"/>
          <w:rtl/>
        </w:rPr>
      </w:pPr>
    </w:p>
    <w:p w:rsidR="00EB2082" w:rsidRDefault="00EB2082" w:rsidP="00EB2082">
      <w:pPr>
        <w:pStyle w:val="Ruller40"/>
        <w:rPr>
          <w:rtl/>
        </w:rPr>
      </w:pPr>
      <w:r>
        <w:rPr>
          <w:rtl/>
        </w:rPr>
        <w:t>28.</w:t>
      </w:r>
      <w:r>
        <w:rPr>
          <w:rtl/>
        </w:rPr>
        <w:tab/>
        <w:t xml:space="preserve">אשר על כן, ועל אף שענייננו במקרה תקדימי, הגעתי למסקנה כי החלטת הקבינט לא חרגה ממתחמי הסבירות והמידתיות ודין העתירה להידחות. </w:t>
      </w:r>
    </w:p>
    <w:p w:rsidR="00EB2082" w:rsidRPr="00323F8A" w:rsidRDefault="00EB2082" w:rsidP="00EB2082">
      <w:pPr>
        <w:pStyle w:val="Ruller40"/>
        <w:rPr>
          <w:sz w:val="16"/>
          <w:szCs w:val="22"/>
          <w:rtl/>
        </w:rPr>
      </w:pPr>
    </w:p>
    <w:p w:rsidR="00EB2082" w:rsidRDefault="00EB2082" w:rsidP="00EB2082">
      <w:pPr>
        <w:pStyle w:val="Ruller40"/>
        <w:rPr>
          <w:rtl/>
        </w:rPr>
      </w:pPr>
      <w:r>
        <w:rPr>
          <w:rtl/>
        </w:rPr>
        <w:tab/>
        <w:t xml:space="preserve">בעניין </w:t>
      </w:r>
      <w:proofErr w:type="spellStart"/>
      <w:r>
        <w:rPr>
          <w:rFonts w:ascii="Century" w:hAnsi="Century" w:cs="Miriam"/>
          <w:b/>
          <w:spacing w:val="0"/>
          <w:szCs w:val="24"/>
          <w:rtl/>
        </w:rPr>
        <w:t>עליאן</w:t>
      </w:r>
      <w:proofErr w:type="spellEnd"/>
      <w:r>
        <w:rPr>
          <w:rtl/>
        </w:rPr>
        <w:t xml:space="preserve"> ציינה המדינה </w:t>
      </w:r>
      <w:r>
        <w:rPr>
          <w:rFonts w:ascii="Century" w:hAnsi="Century"/>
          <w:rtl/>
        </w:rPr>
        <w:t>כי "הדרג המדיני מקיים, ועתיד לקיים, הערכות מצב עיתיות בסוגיה זו"</w:t>
      </w:r>
      <w:r>
        <w:rPr>
          <w:rtl/>
        </w:rPr>
        <w:t xml:space="preserve"> (פסקה 22 לפסק דינו של השופט </w:t>
      </w:r>
      <w:r>
        <w:rPr>
          <w:rFonts w:ascii="Century" w:hAnsi="Century" w:cs="Miriam"/>
          <w:b/>
          <w:spacing w:val="0"/>
          <w:szCs w:val="24"/>
          <w:rtl/>
        </w:rPr>
        <w:t>הנדל</w:t>
      </w:r>
      <w:r>
        <w:rPr>
          <w:rtl/>
        </w:rPr>
        <w:t>). לנוכח האמור, מובן כי על המשיבים לחזור ולבחון מעת לעת את מאזן האינטרסים המתנגשים, לנוכח המציאות הדינמית המשתנה, לרבות בהיבט של חלוף הזמן.</w:t>
      </w:r>
    </w:p>
    <w:p w:rsidR="00EB2082" w:rsidRPr="00323F8A" w:rsidRDefault="00EB2082" w:rsidP="00EB2082">
      <w:pPr>
        <w:pStyle w:val="Ruller40"/>
        <w:rPr>
          <w:sz w:val="16"/>
          <w:szCs w:val="22"/>
          <w:rtl/>
        </w:rPr>
      </w:pPr>
    </w:p>
    <w:p w:rsidR="00EB2082" w:rsidRDefault="00EB2082" w:rsidP="006C3D44">
      <w:pPr>
        <w:pStyle w:val="Ruller40"/>
        <w:rPr>
          <w:rtl/>
        </w:rPr>
      </w:pPr>
      <w:r>
        <w:rPr>
          <w:rtl/>
        </w:rPr>
        <w:t>29.</w:t>
      </w:r>
      <w:r>
        <w:rPr>
          <w:rtl/>
        </w:rPr>
        <w:tab/>
        <w:t xml:space="preserve">בעת כתיבת שורות אלה, עומדים לנגד עיניי החטופים, השבויים והנעדרים וחיילי צה"ל, שנמצאים ברצועת עזה מאז השבעה באוקטובר, </w:t>
      </w:r>
      <w:r w:rsidR="006C3D44">
        <w:rPr>
          <w:rFonts w:ascii="Century" w:hAnsi="Century" w:hint="cs"/>
          <w:rtl/>
        </w:rPr>
        <w:t>ו</w:t>
      </w:r>
      <w:r>
        <w:rPr>
          <w:rFonts w:ascii="Century" w:hAnsi="Century"/>
          <w:rtl/>
        </w:rPr>
        <w:t>בני משפחותיהם של</w:t>
      </w:r>
      <w:r w:rsidR="006C3D44">
        <w:rPr>
          <w:rFonts w:ascii="Century" w:hAnsi="Century" w:hint="cs"/>
          <w:rtl/>
        </w:rPr>
        <w:t xml:space="preserve"> אלה שנמצאים שם כבר שנים רבות </w:t>
      </w:r>
      <w:r w:rsidR="006C3D44">
        <w:rPr>
          <w:rFonts w:ascii="Century" w:hAnsi="Century"/>
          <w:rtl/>
        </w:rPr>
        <w:t>–</w:t>
      </w:r>
      <w:r>
        <w:rPr>
          <w:rFonts w:ascii="Century" w:hAnsi="Century"/>
          <w:rtl/>
        </w:rPr>
        <w:t xml:space="preserve"> לוחמי צה"ל סגן הדר </w:t>
      </w:r>
      <w:proofErr w:type="spellStart"/>
      <w:r>
        <w:rPr>
          <w:rFonts w:ascii="Century" w:hAnsi="Century"/>
          <w:rtl/>
        </w:rPr>
        <w:t>גולדין</w:t>
      </w:r>
      <w:proofErr w:type="spellEnd"/>
      <w:r>
        <w:rPr>
          <w:rFonts w:ascii="Century" w:hAnsi="Century"/>
          <w:rtl/>
        </w:rPr>
        <w:t xml:space="preserve"> ז"ל וסמ"ר אורון שאול ז"ל, ואזרחי ישראל אברה מנגיסטו והישאם אל סייד. קולם של אחינו זועק מהמנהרות ברצועת עזה, ומי </w:t>
      </w:r>
      <w:proofErr w:type="spellStart"/>
      <w:r>
        <w:rPr>
          <w:rFonts w:ascii="Century" w:hAnsi="Century"/>
          <w:rtl/>
        </w:rPr>
        <w:t>יתן</w:t>
      </w:r>
      <w:proofErr w:type="spellEnd"/>
      <w:r>
        <w:rPr>
          <w:rFonts w:ascii="Century" w:hAnsi="Century"/>
          <w:rtl/>
        </w:rPr>
        <w:t xml:space="preserve"> ותתקיים בכולם במהרה בימינו נבואתו של ירמיהו "ושבו בנים לגבולם" (ירמיהו לא, </w:t>
      </w:r>
      <w:proofErr w:type="spellStart"/>
      <w:r>
        <w:rPr>
          <w:rFonts w:ascii="Century" w:hAnsi="Century"/>
          <w:rtl/>
        </w:rPr>
        <w:t>טז</w:t>
      </w:r>
      <w:proofErr w:type="spellEnd"/>
      <w:r>
        <w:rPr>
          <w:rFonts w:ascii="Century" w:hAnsi="Century"/>
          <w:rtl/>
        </w:rPr>
        <w:t>).</w:t>
      </w:r>
    </w:p>
    <w:tbl>
      <w:tblPr>
        <w:tblStyle w:val="ad"/>
        <w:bidiVisual/>
        <w:tblW w:w="83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526"/>
        <w:gridCol w:w="2029"/>
        <w:gridCol w:w="341"/>
        <w:gridCol w:w="2614"/>
      </w:tblGrid>
      <w:tr w:rsidR="00323F8A" w:rsidTr="00A13BC6">
        <w:trPr>
          <w:trHeight w:val="426"/>
          <w:jc w:val="center"/>
        </w:trPr>
        <w:tc>
          <w:tcPr>
            <w:tcW w:w="2796" w:type="dxa"/>
          </w:tcPr>
          <w:p w:rsidR="00323F8A" w:rsidRPr="00222A7A" w:rsidRDefault="00323F8A" w:rsidP="003C5CD4">
            <w:pPr>
              <w:spacing w:before="40" w:after="40"/>
              <w:jc w:val="center"/>
              <w:rPr>
                <w:rtl/>
              </w:rPr>
            </w:pPr>
          </w:p>
        </w:tc>
        <w:tc>
          <w:tcPr>
            <w:tcW w:w="526" w:type="dxa"/>
          </w:tcPr>
          <w:p w:rsidR="00323F8A" w:rsidRDefault="00323F8A" w:rsidP="003C5CD4">
            <w:pPr>
              <w:spacing w:before="40" w:after="40"/>
              <w:jc w:val="center"/>
              <w:rPr>
                <w:rtl/>
              </w:rPr>
            </w:pPr>
          </w:p>
        </w:tc>
        <w:tc>
          <w:tcPr>
            <w:tcW w:w="2029" w:type="dxa"/>
          </w:tcPr>
          <w:p w:rsidR="00323F8A" w:rsidRPr="00222A7A" w:rsidRDefault="00323F8A" w:rsidP="003C5CD4">
            <w:pPr>
              <w:spacing w:before="40" w:after="40"/>
              <w:jc w:val="center"/>
              <w:rPr>
                <w:rtl/>
              </w:rPr>
            </w:pPr>
          </w:p>
        </w:tc>
        <w:tc>
          <w:tcPr>
            <w:tcW w:w="341" w:type="dxa"/>
          </w:tcPr>
          <w:p w:rsidR="00323F8A" w:rsidRDefault="00323F8A" w:rsidP="003C5CD4">
            <w:pPr>
              <w:spacing w:before="40" w:after="40"/>
              <w:jc w:val="center"/>
              <w:rPr>
                <w:rtl/>
              </w:rPr>
            </w:pPr>
          </w:p>
        </w:tc>
        <w:tc>
          <w:tcPr>
            <w:tcW w:w="2614"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8"/>
            </w:tblGrid>
            <w:tr w:rsidR="00323F8A" w:rsidRPr="003941BD" w:rsidTr="00263031">
              <w:trPr>
                <w:trHeight w:val="1247"/>
              </w:trPr>
              <w:tc>
                <w:tcPr>
                  <w:tcW w:w="2551" w:type="dxa"/>
                  <w:tcBorders>
                    <w:top w:val="nil"/>
                    <w:left w:val="nil"/>
                    <w:bottom w:val="single" w:sz="4" w:space="0" w:color="auto"/>
                    <w:right w:val="nil"/>
                  </w:tcBorders>
                  <w:vAlign w:val="center"/>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82"/>
                  </w:tblGrid>
                  <w:tr w:rsidR="00AF72DE" w:rsidRPr="003941BD" w:rsidTr="00263031">
                    <w:trPr>
                      <w:trHeight w:val="1247"/>
                    </w:trPr>
                    <w:tc>
                      <w:tcPr>
                        <w:tcW w:w="2551" w:type="dxa"/>
                        <w:tcBorders>
                          <w:top w:val="nil"/>
                          <w:left w:val="nil"/>
                          <w:bottom w:val="single" w:sz="4" w:space="0" w:color="auto"/>
                          <w:right w:val="nil"/>
                        </w:tcBorders>
                        <w:vAlign w:val="center"/>
                      </w:tcPr>
                      <w:p w:rsidR="00AF72DE" w:rsidRPr="003941BD" w:rsidRDefault="00AF72DE" w:rsidP="00263031">
                        <w:pPr>
                          <w:jc w:val="center"/>
                          <w:rPr>
                            <w:rFonts w:ascii="Courier New" w:hAnsi="Courier New"/>
                          </w:rPr>
                        </w:pPr>
                        <w:r w:rsidRPr="003941BD">
                          <w:rPr>
                            <w:rFonts w:ascii="Courier New" w:hAnsi="Courier New"/>
                            <w:noProof/>
                          </w:rPr>
                          <w:drawing>
                            <wp:inline distT="0" distB="0" distL="0" distR="0" wp14:anchorId="5751B02F" wp14:editId="73E0EA0A">
                              <wp:extent cx="731520" cy="684542"/>
                              <wp:effectExtent l="0" t="0" r="0" b="1270"/>
                              <wp:docPr id="5" name="Picture 2" descr="עמית 055489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עמית 0554896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0692" cy="702482"/>
                                      </a:xfrm>
                                      <a:prstGeom prst="rect">
                                        <a:avLst/>
                                      </a:prstGeom>
                                      <a:noFill/>
                                      <a:ln>
                                        <a:noFill/>
                                      </a:ln>
                                    </pic:spPr>
                                  </pic:pic>
                                </a:graphicData>
                              </a:graphic>
                            </wp:inline>
                          </w:drawing>
                        </w:r>
                      </w:p>
                    </w:tc>
                  </w:tr>
                  <w:tr w:rsidR="00AF72DE" w:rsidRPr="003941BD" w:rsidTr="00263031">
                    <w:trPr>
                      <w:trHeight w:val="454"/>
                    </w:trPr>
                    <w:tc>
                      <w:tcPr>
                        <w:tcW w:w="2551" w:type="dxa"/>
                        <w:tcBorders>
                          <w:top w:val="single" w:sz="4" w:space="0" w:color="auto"/>
                          <w:left w:val="nil"/>
                          <w:bottom w:val="nil"/>
                          <w:right w:val="nil"/>
                        </w:tcBorders>
                        <w:vAlign w:val="center"/>
                      </w:tcPr>
                      <w:p w:rsidR="00AF72DE" w:rsidRPr="003941BD" w:rsidRDefault="00AF72DE" w:rsidP="00263031">
                        <w:pPr>
                          <w:jc w:val="center"/>
                          <w:rPr>
                            <w:rFonts w:ascii="FrankRuehl" w:hAnsi="FrankRuehl" w:cs="FrankRuehl"/>
                            <w:spacing w:val="10"/>
                            <w:sz w:val="28"/>
                            <w:szCs w:val="28"/>
                            <w:rtl/>
                          </w:rPr>
                        </w:pPr>
                        <w:r>
                          <w:rPr>
                            <w:rFonts w:ascii="FrankRuehl" w:hAnsi="FrankRuehl" w:cs="FrankRuehl"/>
                            <w:spacing w:val="10"/>
                            <w:sz w:val="28"/>
                            <w:szCs w:val="28"/>
                            <w:rtl/>
                          </w:rPr>
                          <w:t>יצחק עמית</w:t>
                        </w:r>
                      </w:p>
                      <w:p w:rsidR="00AF72DE" w:rsidRPr="003941BD" w:rsidRDefault="00AF72DE" w:rsidP="00263031">
                        <w:pPr>
                          <w:jc w:val="center"/>
                          <w:rPr>
                            <w:rFonts w:ascii="Courier New" w:hAnsi="Courier New"/>
                          </w:rPr>
                        </w:pPr>
                        <w:r w:rsidRPr="003941BD">
                          <w:rPr>
                            <w:rFonts w:ascii="FrankRuehl" w:hAnsi="FrankRuehl" w:cs="FrankRuehl"/>
                            <w:spacing w:val="10"/>
                            <w:sz w:val="28"/>
                            <w:szCs w:val="28"/>
                            <w:rtl/>
                          </w:rPr>
                          <w:t>שופט</w:t>
                        </w:r>
                      </w:p>
                    </w:tc>
                  </w:tr>
                </w:tbl>
                <w:p w:rsidR="00323F8A" w:rsidRPr="003941BD" w:rsidRDefault="00323F8A" w:rsidP="00AF72DE">
                  <w:pPr>
                    <w:rPr>
                      <w:rFonts w:ascii="Courier New" w:hAnsi="Courier New"/>
                    </w:rPr>
                  </w:pPr>
                </w:p>
              </w:tc>
            </w:tr>
            <w:tr w:rsidR="00323F8A" w:rsidRPr="003941BD" w:rsidTr="00263031">
              <w:trPr>
                <w:trHeight w:val="454"/>
              </w:trPr>
              <w:tc>
                <w:tcPr>
                  <w:tcW w:w="2551" w:type="dxa"/>
                  <w:tcBorders>
                    <w:top w:val="single" w:sz="4" w:space="0" w:color="auto"/>
                    <w:left w:val="nil"/>
                    <w:bottom w:val="nil"/>
                    <w:right w:val="nil"/>
                  </w:tcBorders>
                  <w:vAlign w:val="center"/>
                </w:tcPr>
                <w:p w:rsidR="00323F8A" w:rsidRPr="003941BD" w:rsidRDefault="00323F8A" w:rsidP="00263031">
                  <w:pPr>
                    <w:jc w:val="center"/>
                    <w:rPr>
                      <w:rFonts w:ascii="Courier New" w:hAnsi="Courier New"/>
                    </w:rPr>
                  </w:pPr>
                </w:p>
              </w:tc>
            </w:tr>
          </w:tbl>
          <w:p w:rsidR="00323F8A" w:rsidRPr="00222A7A" w:rsidRDefault="00323F8A" w:rsidP="003C5CD4">
            <w:pPr>
              <w:spacing w:before="40" w:after="40"/>
              <w:jc w:val="center"/>
              <w:rPr>
                <w:rtl/>
              </w:rPr>
            </w:pPr>
          </w:p>
        </w:tc>
      </w:tr>
    </w:tbl>
    <w:p w:rsidR="00EB2082" w:rsidRDefault="00EB2082" w:rsidP="00EB2082">
      <w:pPr>
        <w:tabs>
          <w:tab w:val="left" w:pos="800"/>
        </w:tabs>
        <w:jc w:val="both"/>
        <w:rPr>
          <w:rFonts w:ascii="Arial TUR" w:hAnsi="Arial TUR"/>
          <w:sz w:val="22"/>
          <w:rtl/>
        </w:rPr>
      </w:pPr>
    </w:p>
    <w:p w:rsidR="00EB2082" w:rsidRDefault="00EB2082" w:rsidP="00EB2082">
      <w:pPr>
        <w:tabs>
          <w:tab w:val="left" w:pos="800"/>
        </w:tabs>
        <w:jc w:val="both"/>
        <w:rPr>
          <w:rFonts w:ascii="Century" w:hAnsi="Century" w:cs="Miriam"/>
          <w:sz w:val="20"/>
          <w:u w:val="single"/>
          <w:rtl/>
        </w:rPr>
      </w:pPr>
      <w:r>
        <w:rPr>
          <w:rFonts w:cs="Miriam"/>
          <w:u w:val="single"/>
          <w:rtl/>
        </w:rPr>
        <w:t xml:space="preserve">השופט עופר </w:t>
      </w:r>
      <w:proofErr w:type="spellStart"/>
      <w:r>
        <w:rPr>
          <w:rFonts w:cs="Miriam"/>
          <w:u w:val="single"/>
          <w:rtl/>
        </w:rPr>
        <w:t>גרוסקופף</w:t>
      </w:r>
      <w:proofErr w:type="spellEnd"/>
      <w:r>
        <w:rPr>
          <w:rFonts w:cs="Miriam"/>
          <w:u w:val="single"/>
          <w:rtl/>
        </w:rPr>
        <w:t>:</w:t>
      </w:r>
    </w:p>
    <w:p w:rsidR="00EB2082" w:rsidRPr="00323F8A" w:rsidRDefault="00EB2082" w:rsidP="00323F8A">
      <w:pPr>
        <w:pStyle w:val="Ruller40"/>
        <w:rPr>
          <w:rFonts w:ascii="Century" w:hAnsi="Century"/>
          <w:rtl/>
        </w:rPr>
      </w:pPr>
    </w:p>
    <w:p w:rsidR="00EB2082" w:rsidRPr="00323F8A" w:rsidRDefault="00EB2082" w:rsidP="00323F8A">
      <w:pPr>
        <w:pStyle w:val="Ruller40"/>
        <w:rPr>
          <w:rFonts w:ascii="Century" w:hAnsi="Century"/>
          <w:rtl/>
        </w:rPr>
      </w:pPr>
      <w:r w:rsidRPr="00323F8A">
        <w:rPr>
          <w:rFonts w:ascii="Century" w:hAnsi="Century"/>
          <w:rtl/>
        </w:rPr>
        <w:tab/>
        <w:t xml:space="preserve">אני מסכים.   </w:t>
      </w:r>
    </w:p>
    <w:p w:rsidR="00EB2082" w:rsidRDefault="00EB2082" w:rsidP="00EB2082">
      <w:pPr>
        <w:tabs>
          <w:tab w:val="left" w:pos="800"/>
        </w:tabs>
        <w:jc w:val="both"/>
        <w:rPr>
          <w:rFonts w:ascii="Arial TUR" w:hAnsi="Arial TUR"/>
          <w:sz w:val="22"/>
          <w:rtl/>
        </w:rPr>
      </w:pPr>
    </w:p>
    <w:tbl>
      <w:tblPr>
        <w:bidiVisual/>
        <w:tblW w:w="0" w:type="auto"/>
        <w:tblLook w:val="01E0" w:firstRow="1" w:lastRow="1" w:firstColumn="1" w:lastColumn="1" w:noHBand="0" w:noVBand="0"/>
      </w:tblPr>
      <w:tblGrid>
        <w:gridCol w:w="2736"/>
        <w:gridCol w:w="2737"/>
        <w:gridCol w:w="2834"/>
      </w:tblGrid>
      <w:tr w:rsidR="00EB2082" w:rsidTr="00EB2082">
        <w:tc>
          <w:tcPr>
            <w:tcW w:w="2842" w:type="dxa"/>
          </w:tcPr>
          <w:p w:rsidR="00EB2082" w:rsidRDefault="00EB2082">
            <w:pPr>
              <w:pStyle w:val="Ruller40"/>
              <w:rPr>
                <w:rtl/>
              </w:rPr>
            </w:pPr>
          </w:p>
        </w:tc>
        <w:tc>
          <w:tcPr>
            <w:tcW w:w="2843" w:type="dxa"/>
          </w:tcPr>
          <w:p w:rsidR="00EB2082" w:rsidRDefault="00EB2082">
            <w:pPr>
              <w:pStyle w:val="Ruller40"/>
              <w:rPr>
                <w:rtl/>
              </w:rPr>
            </w:pPr>
          </w:p>
        </w:tc>
        <w:tc>
          <w:tcPr>
            <w:tcW w:w="2843" w:type="dxa"/>
            <w:hideMark/>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2E4257" w:rsidRPr="006F3A20" w:rsidTr="000002AC">
              <w:trPr>
                <w:trHeight w:val="1247"/>
              </w:trPr>
              <w:tc>
                <w:tcPr>
                  <w:tcW w:w="2551" w:type="dxa"/>
                  <w:tcBorders>
                    <w:bottom w:val="single" w:sz="4" w:space="0" w:color="auto"/>
                  </w:tcBorders>
                  <w:vAlign w:val="bottom"/>
                </w:tcPr>
                <w:p w:rsidR="002E4257" w:rsidRPr="006F3A20" w:rsidRDefault="002E4257">
                  <w:pPr>
                    <w:jc w:val="center"/>
                    <w:rPr>
                      <w:rFonts w:ascii="Courier New" w:hAnsi="Courier New"/>
                      <w:sz w:val="20"/>
                      <w:szCs w:val="20"/>
                      <w:rtl/>
                    </w:rPr>
                  </w:pPr>
                  <w:r w:rsidRPr="006F3A20">
                    <w:rPr>
                      <w:rFonts w:ascii="Courier New" w:hAnsi="Courier New"/>
                      <w:noProof/>
                      <w:sz w:val="20"/>
                      <w:szCs w:val="20"/>
                    </w:rPr>
                    <w:drawing>
                      <wp:inline distT="0" distB="0" distL="0" distR="0" wp14:anchorId="098EDE1F" wp14:editId="48EBF0CD">
                        <wp:extent cx="1396870" cy="676192"/>
                        <wp:effectExtent l="0" t="0" r="0" b="0"/>
                        <wp:docPr id="6"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2E4257" w:rsidRPr="006F3A20" w:rsidTr="000002AC">
              <w:trPr>
                <w:trHeight w:val="454"/>
              </w:trPr>
              <w:tc>
                <w:tcPr>
                  <w:tcW w:w="2551" w:type="dxa"/>
                  <w:tcBorders>
                    <w:top w:val="single" w:sz="4" w:space="0" w:color="auto"/>
                  </w:tcBorders>
                </w:tcPr>
                <w:p w:rsidR="002E4257" w:rsidRPr="006F3A20" w:rsidRDefault="002E4257">
                  <w:pPr>
                    <w:jc w:val="center"/>
                    <w:rPr>
                      <w:rFonts w:ascii="FrankRuehl" w:hAnsi="FrankRuehl" w:cs="FrankRuehl"/>
                      <w:spacing w:val="10"/>
                      <w:sz w:val="28"/>
                      <w:szCs w:val="28"/>
                      <w:rtl/>
                    </w:rPr>
                  </w:pPr>
                  <w:r>
                    <w:rPr>
                      <w:rFonts w:ascii="FrankRuehl" w:hAnsi="FrankRuehl" w:cs="FrankRuehl"/>
                      <w:spacing w:val="10"/>
                      <w:sz w:val="28"/>
                      <w:szCs w:val="28"/>
                      <w:rtl/>
                    </w:rPr>
                    <w:t xml:space="preserve">עופר </w:t>
                  </w:r>
                  <w:proofErr w:type="spellStart"/>
                  <w:r>
                    <w:rPr>
                      <w:rFonts w:ascii="FrankRuehl" w:hAnsi="FrankRuehl" w:cs="FrankRuehl"/>
                      <w:spacing w:val="10"/>
                      <w:sz w:val="28"/>
                      <w:szCs w:val="28"/>
                      <w:rtl/>
                    </w:rPr>
                    <w:t>גרוסקופף</w:t>
                  </w:r>
                  <w:proofErr w:type="spellEnd"/>
                </w:p>
                <w:p w:rsidR="002E4257" w:rsidRPr="006F3A20" w:rsidRDefault="002E4257">
                  <w:pPr>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2E4257" w:rsidRPr="006F3A20" w:rsidRDefault="002E4257" w:rsidP="004527DB"/>
          <w:p w:rsidR="00EB2082" w:rsidRDefault="00EB2082">
            <w:pPr>
              <w:pStyle w:val="Ruller40"/>
              <w:jc w:val="center"/>
              <w:rPr>
                <w:rtl/>
              </w:rPr>
            </w:pPr>
          </w:p>
        </w:tc>
      </w:tr>
    </w:tbl>
    <w:p w:rsidR="00EB2082" w:rsidRDefault="00EB2082" w:rsidP="00EB2082">
      <w:pPr>
        <w:tabs>
          <w:tab w:val="left" w:pos="800"/>
        </w:tabs>
        <w:jc w:val="both"/>
        <w:rPr>
          <w:rFonts w:ascii="Arial TUR" w:hAnsi="Arial TUR" w:cs="FrankRuehl"/>
          <w:spacing w:val="10"/>
          <w:sz w:val="22"/>
          <w:szCs w:val="28"/>
          <w:rtl/>
        </w:rPr>
      </w:pPr>
    </w:p>
    <w:p w:rsidR="00EB2082" w:rsidRDefault="00EB2082" w:rsidP="00EB2082">
      <w:pPr>
        <w:tabs>
          <w:tab w:val="left" w:pos="800"/>
        </w:tabs>
        <w:jc w:val="both"/>
        <w:rPr>
          <w:rFonts w:ascii="Century" w:hAnsi="Century" w:cs="Miriam"/>
          <w:sz w:val="20"/>
          <w:rtl/>
        </w:rPr>
      </w:pPr>
      <w:r>
        <w:rPr>
          <w:rFonts w:cs="Miriam"/>
          <w:u w:val="single"/>
          <w:rtl/>
        </w:rPr>
        <w:t>השופטת גילה כנפי-שטייניץ</w:t>
      </w:r>
      <w:r>
        <w:rPr>
          <w:rFonts w:cs="Miriam"/>
          <w:rtl/>
        </w:rPr>
        <w:t>:</w:t>
      </w:r>
    </w:p>
    <w:p w:rsidR="00EB2082" w:rsidRPr="002E4257" w:rsidRDefault="00EB2082" w:rsidP="002E4257">
      <w:pPr>
        <w:pStyle w:val="Ruller40"/>
        <w:rPr>
          <w:rFonts w:ascii="Century" w:hAnsi="Century"/>
          <w:rtl/>
        </w:rPr>
      </w:pPr>
    </w:p>
    <w:p w:rsidR="002E4257" w:rsidRPr="00323F8A" w:rsidRDefault="002E4257" w:rsidP="002E4257">
      <w:pPr>
        <w:pStyle w:val="Ruller40"/>
        <w:rPr>
          <w:rFonts w:ascii="Century" w:hAnsi="Century"/>
          <w:rtl/>
        </w:rPr>
      </w:pPr>
      <w:r w:rsidRPr="00323F8A">
        <w:rPr>
          <w:rFonts w:ascii="Century" w:hAnsi="Century"/>
          <w:rtl/>
        </w:rPr>
        <w:tab/>
        <w:t>אני מסכי</w:t>
      </w:r>
      <w:r>
        <w:rPr>
          <w:rFonts w:ascii="Century" w:hAnsi="Century" w:hint="cs"/>
          <w:rtl/>
        </w:rPr>
        <w:t>מה</w:t>
      </w:r>
      <w:r w:rsidRPr="00323F8A">
        <w:rPr>
          <w:rFonts w:ascii="Century" w:hAnsi="Century"/>
          <w:rtl/>
        </w:rPr>
        <w:t xml:space="preserve">.   </w:t>
      </w:r>
    </w:p>
    <w:p w:rsidR="00EB2082" w:rsidRDefault="00EB2082" w:rsidP="00EB2082">
      <w:pPr>
        <w:tabs>
          <w:tab w:val="left" w:pos="800"/>
        </w:tabs>
        <w:jc w:val="both"/>
        <w:rPr>
          <w:rFonts w:ascii="Arial TUR" w:hAnsi="Arial TUR"/>
          <w:sz w:val="22"/>
          <w:rtl/>
        </w:rPr>
      </w:pPr>
      <w:r>
        <w:rPr>
          <w:rFonts w:ascii="Arial TUR" w:hAnsi="Arial TUR"/>
          <w:sz w:val="22"/>
          <w:rtl/>
        </w:rPr>
        <w:t xml:space="preserve">   </w:t>
      </w:r>
    </w:p>
    <w:tbl>
      <w:tblPr>
        <w:bidiVisual/>
        <w:tblW w:w="0" w:type="auto"/>
        <w:tblLook w:val="01E0" w:firstRow="1" w:lastRow="1" w:firstColumn="1" w:lastColumn="1" w:noHBand="0" w:noVBand="0"/>
      </w:tblPr>
      <w:tblGrid>
        <w:gridCol w:w="2748"/>
        <w:gridCol w:w="2748"/>
        <w:gridCol w:w="2811"/>
      </w:tblGrid>
      <w:tr w:rsidR="00EB2082" w:rsidTr="00EB2082">
        <w:tc>
          <w:tcPr>
            <w:tcW w:w="2842" w:type="dxa"/>
          </w:tcPr>
          <w:p w:rsidR="00EB2082" w:rsidRDefault="00EB2082">
            <w:pPr>
              <w:pStyle w:val="Ruller40"/>
              <w:rPr>
                <w:rtl/>
              </w:rPr>
            </w:pPr>
          </w:p>
        </w:tc>
        <w:tc>
          <w:tcPr>
            <w:tcW w:w="2843" w:type="dxa"/>
          </w:tcPr>
          <w:p w:rsidR="00EB2082" w:rsidRDefault="00EB2082">
            <w:pPr>
              <w:pStyle w:val="Ruller40"/>
              <w:rPr>
                <w:rtl/>
              </w:rPr>
            </w:pPr>
          </w:p>
        </w:tc>
        <w:tc>
          <w:tcPr>
            <w:tcW w:w="2843" w:type="dxa"/>
            <w:hideMark/>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2E4257" w:rsidRPr="003929EB" w:rsidTr="00C867A0">
              <w:trPr>
                <w:trHeight w:val="1247"/>
              </w:trPr>
              <w:tc>
                <w:tcPr>
                  <w:tcW w:w="2551" w:type="dxa"/>
                  <w:tcBorders>
                    <w:top w:val="nil"/>
                    <w:left w:val="nil"/>
                    <w:bottom w:val="single" w:sz="4" w:space="0" w:color="auto"/>
                    <w:right w:val="nil"/>
                  </w:tcBorders>
                  <w:vAlign w:val="center"/>
                </w:tcPr>
                <w:p w:rsidR="002E4257" w:rsidRPr="003929EB" w:rsidRDefault="002E4257" w:rsidP="00C867A0">
                  <w:pPr>
                    <w:jc w:val="center"/>
                    <w:rPr>
                      <w:rFonts w:ascii="Courier New" w:hAnsi="Courier New"/>
                      <w:rtl/>
                    </w:rPr>
                  </w:pPr>
                  <w:r w:rsidRPr="003929EB">
                    <w:rPr>
                      <w:noProof/>
                    </w:rPr>
                    <w:drawing>
                      <wp:inline distT="0" distB="0" distL="0" distR="0" wp14:anchorId="76CECA06" wp14:editId="2A011B62">
                        <wp:extent cx="970280" cy="739775"/>
                        <wp:effectExtent l="0" t="0" r="1270" b="3175"/>
                        <wp:docPr id="7" name="Picture 1" descr="055475867"/>
                        <wp:cNvGraphicFramePr/>
                        <a:graphic xmlns:a="http://schemas.openxmlformats.org/drawingml/2006/main">
                          <a:graphicData uri="http://schemas.openxmlformats.org/drawingml/2006/picture">
                            <pic:pic xmlns:pic="http://schemas.openxmlformats.org/drawingml/2006/picture">
                              <pic:nvPicPr>
                                <pic:cNvPr id="1" name="Picture 1" descr="055475867"/>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9398" cy="754351"/>
                                </a:xfrm>
                                <a:prstGeom prst="rect">
                                  <a:avLst/>
                                </a:prstGeom>
                                <a:noFill/>
                                <a:ln>
                                  <a:noFill/>
                                </a:ln>
                              </pic:spPr>
                            </pic:pic>
                          </a:graphicData>
                        </a:graphic>
                      </wp:inline>
                    </w:drawing>
                  </w:r>
                </w:p>
              </w:tc>
            </w:tr>
            <w:tr w:rsidR="002E4257" w:rsidRPr="003929EB" w:rsidTr="00C867A0">
              <w:trPr>
                <w:trHeight w:val="454"/>
              </w:trPr>
              <w:tc>
                <w:tcPr>
                  <w:tcW w:w="2551" w:type="dxa"/>
                  <w:tcBorders>
                    <w:top w:val="single" w:sz="4" w:space="0" w:color="auto"/>
                    <w:left w:val="nil"/>
                    <w:bottom w:val="nil"/>
                    <w:right w:val="nil"/>
                  </w:tcBorders>
                  <w:vAlign w:val="center"/>
                </w:tcPr>
                <w:p w:rsidR="002E4257" w:rsidRPr="003929EB" w:rsidRDefault="002E4257" w:rsidP="00C867A0">
                  <w:pPr>
                    <w:pStyle w:val="31"/>
                    <w:jc w:val="center"/>
                    <w:outlineLvl w:val="2"/>
                    <w:rPr>
                      <w:rFonts w:cs="FrankRuehl"/>
                      <w:b/>
                      <w:bCs/>
                      <w:spacing w:val="10"/>
                      <w:sz w:val="28"/>
                      <w:szCs w:val="28"/>
                      <w:rtl/>
                    </w:rPr>
                  </w:pPr>
                  <w:r w:rsidRPr="003929EB">
                    <w:rPr>
                      <w:rFonts w:cs="FrankRuehl" w:hint="cs"/>
                      <w:spacing w:val="10"/>
                      <w:sz w:val="28"/>
                      <w:szCs w:val="28"/>
                      <w:rtl/>
                    </w:rPr>
                    <w:t>גילה כנפי-שטי</w:t>
                  </w:r>
                  <w:r>
                    <w:rPr>
                      <w:rFonts w:cs="FrankRuehl" w:hint="cs"/>
                      <w:spacing w:val="10"/>
                      <w:sz w:val="28"/>
                      <w:szCs w:val="28"/>
                      <w:rtl/>
                    </w:rPr>
                    <w:t>יניץ</w:t>
                  </w:r>
                  <w:r w:rsidRPr="003929EB">
                    <w:rPr>
                      <w:rFonts w:cs="FrankRuehl" w:hint="cs"/>
                      <w:spacing w:val="10"/>
                      <w:sz w:val="28"/>
                      <w:szCs w:val="28"/>
                      <w:rtl/>
                    </w:rPr>
                    <w:t xml:space="preserve"> </w:t>
                  </w:r>
                  <w:r w:rsidRPr="003929EB">
                    <w:rPr>
                      <w:rFonts w:cs="FrankRuehl"/>
                      <w:spacing w:val="10"/>
                      <w:sz w:val="28"/>
                      <w:szCs w:val="28"/>
                      <w:rtl/>
                    </w:rPr>
                    <w:t>שופטת</w:t>
                  </w:r>
                </w:p>
              </w:tc>
            </w:tr>
          </w:tbl>
          <w:p w:rsidR="002E4257" w:rsidRDefault="002E4257" w:rsidP="00B13560">
            <w:pPr>
              <w:rPr>
                <w:rtl/>
              </w:rPr>
            </w:pPr>
          </w:p>
          <w:p w:rsidR="00EB2082" w:rsidRDefault="00EB2082">
            <w:pPr>
              <w:pStyle w:val="Ruller40"/>
              <w:jc w:val="center"/>
              <w:rPr>
                <w:rtl/>
              </w:rPr>
            </w:pPr>
          </w:p>
        </w:tc>
      </w:tr>
    </w:tbl>
    <w:p w:rsidR="00EB2082" w:rsidRDefault="00EB2082" w:rsidP="00EB2082">
      <w:pPr>
        <w:tabs>
          <w:tab w:val="left" w:pos="800"/>
        </w:tabs>
        <w:jc w:val="both"/>
        <w:rPr>
          <w:rFonts w:ascii="Arial TUR" w:hAnsi="Arial TUR" w:cs="FrankRuehl"/>
          <w:spacing w:val="10"/>
          <w:sz w:val="22"/>
          <w:szCs w:val="28"/>
          <w:rtl/>
        </w:rPr>
      </w:pPr>
    </w:p>
    <w:p w:rsidR="002E4257" w:rsidRDefault="002E4257" w:rsidP="00EB2082">
      <w:pPr>
        <w:tabs>
          <w:tab w:val="left" w:pos="800"/>
        </w:tabs>
        <w:jc w:val="both"/>
        <w:rPr>
          <w:rFonts w:ascii="Arial TUR" w:hAnsi="Arial TUR" w:cs="FrankRuehl"/>
          <w:spacing w:val="10"/>
          <w:sz w:val="22"/>
          <w:szCs w:val="28"/>
          <w:rtl/>
        </w:rPr>
      </w:pPr>
    </w:p>
    <w:p w:rsidR="002E4257" w:rsidRDefault="002E4257" w:rsidP="00A9273E">
      <w:pPr>
        <w:pStyle w:val="Ruller40"/>
        <w:rPr>
          <w:rFonts w:ascii="Century" w:hAnsi="Century"/>
          <w:rtl/>
        </w:rPr>
      </w:pPr>
      <w:r w:rsidRPr="00A9273E">
        <w:rPr>
          <w:rFonts w:ascii="Century" w:hAnsi="Century"/>
          <w:rtl/>
        </w:rPr>
        <w:tab/>
      </w:r>
      <w:r w:rsidRPr="00A9273E">
        <w:rPr>
          <w:rFonts w:ascii="Century" w:hAnsi="Century" w:hint="cs"/>
          <w:rtl/>
        </w:rPr>
        <w:t xml:space="preserve">לפיכך הוחלט כאמור בפסק דינו של השופט </w:t>
      </w:r>
      <w:r w:rsidRPr="002E4257">
        <w:rPr>
          <w:rFonts w:ascii="Century" w:hAnsi="Century" w:cs="Miriam" w:hint="cs"/>
          <w:b/>
          <w:sz w:val="18"/>
          <w:szCs w:val="24"/>
          <w:rtl/>
        </w:rPr>
        <w:t>י' עמית</w:t>
      </w:r>
      <w:r w:rsidRPr="00A9273E">
        <w:rPr>
          <w:rFonts w:ascii="Century" w:hAnsi="Century" w:hint="cs"/>
          <w:rtl/>
        </w:rPr>
        <w:t xml:space="preserve">. </w:t>
      </w:r>
    </w:p>
    <w:p w:rsidR="002E4257" w:rsidRDefault="002E4257" w:rsidP="00A9273E">
      <w:pPr>
        <w:pStyle w:val="Ruller40"/>
        <w:rPr>
          <w:rFonts w:ascii="Century" w:hAnsi="Century"/>
          <w:rtl/>
        </w:rPr>
      </w:pPr>
    </w:p>
    <w:p w:rsidR="002E4257" w:rsidRDefault="002E4257" w:rsidP="00E519A3">
      <w:pPr>
        <w:pStyle w:val="Ruller40"/>
        <w:rPr>
          <w:rFonts w:ascii="Century" w:hAnsi="Century"/>
          <w:rtl/>
        </w:rPr>
      </w:pPr>
      <w:r>
        <w:rPr>
          <w:rFonts w:ascii="Century" w:hAnsi="Century"/>
          <w:rtl/>
        </w:rPr>
        <w:tab/>
      </w:r>
      <w:r>
        <w:rPr>
          <w:rFonts w:ascii="Century" w:hAnsi="Century" w:hint="eastAsia"/>
          <w:rtl/>
        </w:rPr>
        <w:t>ניתן</w:t>
      </w:r>
      <w:r>
        <w:rPr>
          <w:rFonts w:ascii="Century" w:hAnsi="Century"/>
          <w:rtl/>
        </w:rPr>
        <w:t xml:space="preserve"> </w:t>
      </w:r>
      <w:r>
        <w:rPr>
          <w:rFonts w:ascii="Century" w:hAnsi="Century" w:hint="eastAsia"/>
          <w:rtl/>
        </w:rPr>
        <w:t>היום</w:t>
      </w:r>
      <w:r>
        <w:rPr>
          <w:rFonts w:ascii="Century" w:hAnsi="Century"/>
          <w:rtl/>
        </w:rPr>
        <w:t xml:space="preserve">, </w:t>
      </w:r>
      <w:r>
        <w:rPr>
          <w:rFonts w:ascii="Century" w:hAnsi="Century" w:hint="eastAsia"/>
          <w:rtl/>
        </w:rPr>
        <w:t>‏כ</w:t>
      </w:r>
      <w:r>
        <w:rPr>
          <w:rFonts w:ascii="Century" w:hAnsi="Century"/>
          <w:rtl/>
        </w:rPr>
        <w:t>"</w:t>
      </w:r>
      <w:r w:rsidR="00E519A3">
        <w:rPr>
          <w:rFonts w:ascii="Century" w:hAnsi="Century" w:hint="cs"/>
          <w:rtl/>
        </w:rPr>
        <w:t>ז</w:t>
      </w:r>
      <w:r>
        <w:rPr>
          <w:rFonts w:ascii="Century" w:hAnsi="Century"/>
          <w:rtl/>
        </w:rPr>
        <w:t xml:space="preserve"> </w:t>
      </w:r>
      <w:r>
        <w:rPr>
          <w:rFonts w:ascii="Century" w:hAnsi="Century" w:hint="eastAsia"/>
          <w:rtl/>
        </w:rPr>
        <w:t>באלול</w:t>
      </w:r>
      <w:r>
        <w:rPr>
          <w:rFonts w:ascii="Century" w:hAnsi="Century"/>
          <w:rtl/>
        </w:rPr>
        <w:t xml:space="preserve"> </w:t>
      </w:r>
      <w:proofErr w:type="spellStart"/>
      <w:r>
        <w:rPr>
          <w:rFonts w:ascii="Century" w:hAnsi="Century" w:hint="eastAsia"/>
          <w:rtl/>
        </w:rPr>
        <w:t>התשפ</w:t>
      </w:r>
      <w:r>
        <w:rPr>
          <w:rFonts w:ascii="Century" w:hAnsi="Century"/>
          <w:rtl/>
        </w:rPr>
        <w:t>"</w:t>
      </w:r>
      <w:r>
        <w:rPr>
          <w:rFonts w:ascii="Century" w:hAnsi="Century" w:hint="eastAsia"/>
          <w:rtl/>
        </w:rPr>
        <w:t>ד</w:t>
      </w:r>
      <w:proofErr w:type="spellEnd"/>
      <w:r>
        <w:rPr>
          <w:rFonts w:ascii="Century" w:hAnsi="Century"/>
          <w:rtl/>
        </w:rPr>
        <w:t xml:space="preserve"> (</w:t>
      </w:r>
      <w:r>
        <w:rPr>
          <w:rFonts w:ascii="Century" w:hAnsi="Century" w:hint="eastAsia"/>
          <w:rtl/>
        </w:rPr>
        <w:t>‏</w:t>
      </w:r>
      <w:r w:rsidR="00E519A3">
        <w:rPr>
          <w:rFonts w:ascii="Century" w:hAnsi="Century" w:hint="cs"/>
          <w:rtl/>
        </w:rPr>
        <w:t>30</w:t>
      </w:r>
      <w:r>
        <w:rPr>
          <w:rFonts w:ascii="Century" w:hAnsi="Century"/>
          <w:rtl/>
        </w:rPr>
        <w:t>.9.2024).</w:t>
      </w:r>
    </w:p>
    <w:p w:rsidR="002E4257" w:rsidRPr="00A9273E" w:rsidRDefault="002E4257" w:rsidP="00A9273E">
      <w:pPr>
        <w:pStyle w:val="Ruller40"/>
        <w:rPr>
          <w:rFonts w:ascii="Century" w:hAnsi="Century"/>
          <w:rtl/>
        </w:rPr>
      </w:pPr>
    </w:p>
    <w:p w:rsidR="002E4257" w:rsidRDefault="002E4257" w:rsidP="00EB2082">
      <w:pPr>
        <w:tabs>
          <w:tab w:val="left" w:pos="800"/>
        </w:tabs>
        <w:jc w:val="both"/>
        <w:rPr>
          <w:rFonts w:ascii="Arial TUR" w:hAnsi="Arial TUR"/>
          <w:sz w:val="22"/>
          <w:rtl/>
        </w:rPr>
      </w:pPr>
    </w:p>
    <w:p w:rsidR="00694556" w:rsidRDefault="002E4257" w:rsidP="00926490">
      <w:pPr>
        <w:tabs>
          <w:tab w:val="left" w:pos="800"/>
        </w:tabs>
        <w:jc w:val="both"/>
        <w:rPr>
          <w:rFonts w:ascii="FrankRuehl" w:hAnsi="FrankRuehl" w:cs="FrankRuehl"/>
          <w:spacing w:val="10"/>
          <w:sz w:val="28"/>
          <w:szCs w:val="28"/>
          <w:rtl/>
        </w:rPr>
      </w:pPr>
      <w:r>
        <w:rPr>
          <w:rFonts w:ascii="Arial TUR" w:hAnsi="Arial TUR" w:hint="cs"/>
          <w:sz w:val="22"/>
          <w:rtl/>
        </w:rPr>
        <w:t xml:space="preserve"> </w:t>
      </w:r>
      <w:r w:rsidR="00EB2082">
        <w:rPr>
          <w:rFonts w:ascii="Arial TUR" w:hAnsi="Arial TUR"/>
          <w:sz w:val="22"/>
          <w:rtl/>
        </w:rPr>
        <w:tab/>
      </w:r>
    </w:p>
    <w:tbl>
      <w:tblPr>
        <w:tblStyle w:val="a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7"/>
        <w:gridCol w:w="2763"/>
        <w:gridCol w:w="2747"/>
      </w:tblGrid>
      <w:tr w:rsidR="008A481A" w:rsidTr="00E519A3">
        <w:trPr>
          <w:trHeight w:val="1906"/>
          <w:jc w:val="center"/>
        </w:trPr>
        <w:tc>
          <w:tcPr>
            <w:tcW w:w="2827"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F00791" w:rsidRPr="003941BD" w:rsidTr="00263031">
              <w:trPr>
                <w:trHeight w:val="1247"/>
              </w:trPr>
              <w:tc>
                <w:tcPr>
                  <w:tcW w:w="2551" w:type="dxa"/>
                  <w:tcBorders>
                    <w:top w:val="nil"/>
                    <w:left w:val="nil"/>
                    <w:bottom w:val="single" w:sz="4" w:space="0" w:color="auto"/>
                    <w:right w:val="nil"/>
                  </w:tcBorders>
                  <w:vAlign w:val="center"/>
                </w:tcPr>
                <w:p w:rsidR="00F00791" w:rsidRPr="003941BD" w:rsidRDefault="00F00791" w:rsidP="00263031">
                  <w:pPr>
                    <w:jc w:val="center"/>
                    <w:rPr>
                      <w:rFonts w:ascii="Courier New" w:hAnsi="Courier New"/>
                    </w:rPr>
                  </w:pPr>
                  <w:r w:rsidRPr="003941BD">
                    <w:rPr>
                      <w:rFonts w:ascii="Courier New" w:hAnsi="Courier New"/>
                      <w:noProof/>
                    </w:rPr>
                    <w:drawing>
                      <wp:inline distT="0" distB="0" distL="0" distR="0" wp14:anchorId="5751B02F" wp14:editId="73E0EA0A">
                        <wp:extent cx="731520" cy="684542"/>
                        <wp:effectExtent l="0" t="0" r="0" b="1270"/>
                        <wp:docPr id="1" name="Picture 2" descr="עמית 055489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עמית 0554896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0692" cy="702482"/>
                                </a:xfrm>
                                <a:prstGeom prst="rect">
                                  <a:avLst/>
                                </a:prstGeom>
                                <a:noFill/>
                                <a:ln>
                                  <a:noFill/>
                                </a:ln>
                              </pic:spPr>
                            </pic:pic>
                          </a:graphicData>
                        </a:graphic>
                      </wp:inline>
                    </w:drawing>
                  </w:r>
                </w:p>
              </w:tc>
            </w:tr>
            <w:tr w:rsidR="00F00791" w:rsidRPr="003941BD" w:rsidTr="00263031">
              <w:trPr>
                <w:trHeight w:val="454"/>
              </w:trPr>
              <w:tc>
                <w:tcPr>
                  <w:tcW w:w="2551" w:type="dxa"/>
                  <w:tcBorders>
                    <w:top w:val="single" w:sz="4" w:space="0" w:color="auto"/>
                    <w:left w:val="nil"/>
                    <w:bottom w:val="nil"/>
                    <w:right w:val="nil"/>
                  </w:tcBorders>
                  <w:vAlign w:val="center"/>
                </w:tcPr>
                <w:p w:rsidR="00F00791" w:rsidRPr="003941BD" w:rsidRDefault="00F00791" w:rsidP="00263031">
                  <w:pPr>
                    <w:jc w:val="center"/>
                    <w:rPr>
                      <w:rFonts w:ascii="FrankRuehl" w:hAnsi="FrankRuehl" w:cs="FrankRuehl"/>
                      <w:spacing w:val="10"/>
                      <w:sz w:val="28"/>
                      <w:szCs w:val="28"/>
                      <w:rtl/>
                    </w:rPr>
                  </w:pPr>
                  <w:r>
                    <w:rPr>
                      <w:rFonts w:ascii="FrankRuehl" w:hAnsi="FrankRuehl" w:cs="FrankRuehl"/>
                      <w:spacing w:val="10"/>
                      <w:sz w:val="28"/>
                      <w:szCs w:val="28"/>
                      <w:rtl/>
                    </w:rPr>
                    <w:t>יצחק עמית</w:t>
                  </w:r>
                </w:p>
                <w:p w:rsidR="00F00791" w:rsidRPr="003941BD" w:rsidRDefault="00F00791" w:rsidP="00263031">
                  <w:pPr>
                    <w:jc w:val="center"/>
                    <w:rPr>
                      <w:rFonts w:ascii="Courier New" w:hAnsi="Courier New"/>
                    </w:rPr>
                  </w:pPr>
                  <w:r w:rsidRPr="003941BD">
                    <w:rPr>
                      <w:rFonts w:ascii="FrankRuehl" w:hAnsi="FrankRuehl" w:cs="FrankRuehl"/>
                      <w:spacing w:val="10"/>
                      <w:sz w:val="28"/>
                      <w:szCs w:val="28"/>
                      <w:rtl/>
                    </w:rPr>
                    <w:t>שופט</w:t>
                  </w:r>
                </w:p>
              </w:tc>
            </w:tr>
          </w:tbl>
          <w:p w:rsidR="008A481A" w:rsidRPr="00D26B63" w:rsidRDefault="008A481A" w:rsidP="00F00791">
            <w:pPr>
              <w:spacing w:line="360" w:lineRule="auto"/>
              <w:rPr>
                <w:rFonts w:ascii="FrankRuehl" w:hAnsi="FrankRuehl" w:cs="FrankRuehl"/>
                <w:spacing w:val="10"/>
                <w:sz w:val="28"/>
                <w:szCs w:val="28"/>
                <w:rtl/>
              </w:rPr>
            </w:pPr>
          </w:p>
        </w:tc>
        <w:tc>
          <w:tcPr>
            <w:tcW w:w="2766"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47"/>
            </w:tblGrid>
            <w:tr w:rsidR="00F00791" w:rsidRPr="006F3A20" w:rsidTr="000002AC">
              <w:trPr>
                <w:trHeight w:val="1247"/>
              </w:trPr>
              <w:tc>
                <w:tcPr>
                  <w:tcW w:w="2551" w:type="dxa"/>
                  <w:tcBorders>
                    <w:bottom w:val="single" w:sz="4" w:space="0" w:color="auto"/>
                  </w:tcBorders>
                  <w:vAlign w:val="bottom"/>
                </w:tcPr>
                <w:p w:rsidR="00F00791" w:rsidRPr="006F3A20" w:rsidRDefault="00F00791">
                  <w:pPr>
                    <w:jc w:val="center"/>
                    <w:rPr>
                      <w:rFonts w:ascii="Courier New" w:hAnsi="Courier New"/>
                      <w:sz w:val="20"/>
                      <w:szCs w:val="20"/>
                      <w:rtl/>
                    </w:rPr>
                  </w:pPr>
                  <w:r w:rsidRPr="006F3A20">
                    <w:rPr>
                      <w:rFonts w:ascii="Courier New" w:hAnsi="Courier New"/>
                      <w:noProof/>
                      <w:sz w:val="20"/>
                      <w:szCs w:val="20"/>
                    </w:rPr>
                    <w:drawing>
                      <wp:inline distT="0" distB="0" distL="0" distR="0" wp14:anchorId="098EDE1F" wp14:editId="48EBF0CD">
                        <wp:extent cx="1396870" cy="676192"/>
                        <wp:effectExtent l="0" t="0" r="0" b="0"/>
                        <wp:docPr id="3"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F00791" w:rsidRPr="006F3A20" w:rsidTr="000002AC">
              <w:trPr>
                <w:trHeight w:val="454"/>
              </w:trPr>
              <w:tc>
                <w:tcPr>
                  <w:tcW w:w="2551" w:type="dxa"/>
                  <w:tcBorders>
                    <w:top w:val="single" w:sz="4" w:space="0" w:color="auto"/>
                  </w:tcBorders>
                </w:tcPr>
                <w:p w:rsidR="00F00791" w:rsidRPr="006F3A20" w:rsidRDefault="00F00791">
                  <w:pPr>
                    <w:jc w:val="center"/>
                    <w:rPr>
                      <w:rFonts w:ascii="FrankRuehl" w:hAnsi="FrankRuehl" w:cs="FrankRuehl"/>
                      <w:spacing w:val="10"/>
                      <w:sz w:val="28"/>
                      <w:szCs w:val="28"/>
                      <w:rtl/>
                    </w:rPr>
                  </w:pPr>
                  <w:r>
                    <w:rPr>
                      <w:rFonts w:ascii="FrankRuehl" w:hAnsi="FrankRuehl" w:cs="FrankRuehl"/>
                      <w:spacing w:val="10"/>
                      <w:sz w:val="28"/>
                      <w:szCs w:val="28"/>
                      <w:rtl/>
                    </w:rPr>
                    <w:t xml:space="preserve">עופר </w:t>
                  </w:r>
                  <w:proofErr w:type="spellStart"/>
                  <w:r>
                    <w:rPr>
                      <w:rFonts w:ascii="FrankRuehl" w:hAnsi="FrankRuehl" w:cs="FrankRuehl"/>
                      <w:spacing w:val="10"/>
                      <w:sz w:val="28"/>
                      <w:szCs w:val="28"/>
                      <w:rtl/>
                    </w:rPr>
                    <w:t>גרוסקופף</w:t>
                  </w:r>
                  <w:proofErr w:type="spellEnd"/>
                </w:p>
                <w:p w:rsidR="00F00791" w:rsidRPr="006F3A20" w:rsidRDefault="00F00791">
                  <w:pPr>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8A481A" w:rsidRPr="00D26B63" w:rsidRDefault="008A481A" w:rsidP="008A481A">
            <w:pPr>
              <w:spacing w:line="360" w:lineRule="auto"/>
              <w:jc w:val="center"/>
              <w:rPr>
                <w:rFonts w:ascii="FrankRuehl" w:hAnsi="FrankRuehl" w:cs="FrankRuehl"/>
                <w:spacing w:val="10"/>
                <w:sz w:val="28"/>
                <w:szCs w:val="28"/>
                <w:rtl/>
              </w:rPr>
            </w:pPr>
          </w:p>
        </w:tc>
        <w:tc>
          <w:tcPr>
            <w:tcW w:w="2766"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31"/>
            </w:tblGrid>
            <w:tr w:rsidR="00F00791" w:rsidRPr="003929EB" w:rsidTr="00C867A0">
              <w:trPr>
                <w:trHeight w:val="1247"/>
              </w:trPr>
              <w:tc>
                <w:tcPr>
                  <w:tcW w:w="2551" w:type="dxa"/>
                  <w:tcBorders>
                    <w:top w:val="nil"/>
                    <w:left w:val="nil"/>
                    <w:bottom w:val="single" w:sz="4" w:space="0" w:color="auto"/>
                    <w:right w:val="nil"/>
                  </w:tcBorders>
                  <w:vAlign w:val="center"/>
                </w:tcPr>
                <w:p w:rsidR="00F00791" w:rsidRPr="003929EB" w:rsidRDefault="004C693B" w:rsidP="00C867A0">
                  <w:pPr>
                    <w:jc w:val="center"/>
                    <w:rPr>
                      <w:rFonts w:ascii="Courier New" w:hAnsi="Courier New"/>
                      <w:rtl/>
                    </w:rPr>
                  </w:pPr>
                  <w:r>
                    <w:rPr>
                      <w:rFonts w:hint="cs"/>
                      <w:noProof/>
                      <w:rtl/>
                    </w:rPr>
                    <w:t>'</w:t>
                  </w:r>
                  <w:r w:rsidR="00F00791" w:rsidRPr="003929EB">
                    <w:rPr>
                      <w:noProof/>
                    </w:rPr>
                    <w:drawing>
                      <wp:inline distT="0" distB="0" distL="0" distR="0" wp14:anchorId="76CECA06" wp14:editId="2A011B62">
                        <wp:extent cx="970280" cy="739775"/>
                        <wp:effectExtent l="0" t="0" r="1270" b="3175"/>
                        <wp:docPr id="4" name="Picture 1" descr="055475867"/>
                        <wp:cNvGraphicFramePr/>
                        <a:graphic xmlns:a="http://schemas.openxmlformats.org/drawingml/2006/main">
                          <a:graphicData uri="http://schemas.openxmlformats.org/drawingml/2006/picture">
                            <pic:pic xmlns:pic="http://schemas.openxmlformats.org/drawingml/2006/picture">
                              <pic:nvPicPr>
                                <pic:cNvPr id="1" name="Picture 1" descr="055475867"/>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9398" cy="754351"/>
                                </a:xfrm>
                                <a:prstGeom prst="rect">
                                  <a:avLst/>
                                </a:prstGeom>
                                <a:noFill/>
                                <a:ln>
                                  <a:noFill/>
                                </a:ln>
                              </pic:spPr>
                            </pic:pic>
                          </a:graphicData>
                        </a:graphic>
                      </wp:inline>
                    </w:drawing>
                  </w:r>
                </w:p>
              </w:tc>
            </w:tr>
            <w:tr w:rsidR="00F00791" w:rsidRPr="003929EB" w:rsidTr="00C867A0">
              <w:trPr>
                <w:trHeight w:val="454"/>
              </w:trPr>
              <w:tc>
                <w:tcPr>
                  <w:tcW w:w="2551" w:type="dxa"/>
                  <w:tcBorders>
                    <w:top w:val="single" w:sz="4" w:space="0" w:color="auto"/>
                    <w:left w:val="nil"/>
                    <w:bottom w:val="nil"/>
                    <w:right w:val="nil"/>
                  </w:tcBorders>
                  <w:vAlign w:val="center"/>
                </w:tcPr>
                <w:p w:rsidR="00F00791" w:rsidRPr="003929EB" w:rsidRDefault="00F00791" w:rsidP="00C867A0">
                  <w:pPr>
                    <w:pStyle w:val="31"/>
                    <w:jc w:val="center"/>
                    <w:outlineLvl w:val="2"/>
                    <w:rPr>
                      <w:rFonts w:cs="FrankRuehl"/>
                      <w:b/>
                      <w:bCs/>
                      <w:spacing w:val="10"/>
                      <w:sz w:val="28"/>
                      <w:szCs w:val="28"/>
                      <w:rtl/>
                    </w:rPr>
                  </w:pPr>
                  <w:r w:rsidRPr="003929EB">
                    <w:rPr>
                      <w:rFonts w:cs="FrankRuehl" w:hint="cs"/>
                      <w:spacing w:val="10"/>
                      <w:sz w:val="28"/>
                      <w:szCs w:val="28"/>
                      <w:rtl/>
                    </w:rPr>
                    <w:t>גילה כנפי-שטי</w:t>
                  </w:r>
                  <w:r>
                    <w:rPr>
                      <w:rFonts w:cs="FrankRuehl" w:hint="cs"/>
                      <w:spacing w:val="10"/>
                      <w:sz w:val="28"/>
                      <w:szCs w:val="28"/>
                      <w:rtl/>
                    </w:rPr>
                    <w:t>יניץ</w:t>
                  </w:r>
                  <w:r w:rsidRPr="003929EB">
                    <w:rPr>
                      <w:rFonts w:cs="FrankRuehl" w:hint="cs"/>
                      <w:spacing w:val="10"/>
                      <w:sz w:val="28"/>
                      <w:szCs w:val="28"/>
                      <w:rtl/>
                    </w:rPr>
                    <w:t xml:space="preserve"> </w:t>
                  </w:r>
                  <w:r w:rsidRPr="003929EB">
                    <w:rPr>
                      <w:rFonts w:cs="FrankRuehl"/>
                      <w:spacing w:val="10"/>
                      <w:sz w:val="28"/>
                      <w:szCs w:val="28"/>
                      <w:rtl/>
                    </w:rPr>
                    <w:t>שופטת</w:t>
                  </w:r>
                </w:p>
              </w:tc>
            </w:tr>
          </w:tbl>
          <w:p w:rsidR="008A481A" w:rsidRDefault="008A481A" w:rsidP="008A481A">
            <w:pPr>
              <w:spacing w:line="360" w:lineRule="auto"/>
              <w:jc w:val="center"/>
              <w:rPr>
                <w:rFonts w:ascii="FrankRuehl" w:hAnsi="FrankRuehl" w:cs="FrankRuehl"/>
                <w:spacing w:val="10"/>
                <w:sz w:val="28"/>
                <w:szCs w:val="28"/>
                <w:rtl/>
              </w:rPr>
            </w:pPr>
          </w:p>
        </w:tc>
      </w:tr>
    </w:tbl>
    <w:p w:rsidR="00694556" w:rsidRPr="00105E0F" w:rsidRDefault="00BD6531" w:rsidP="008A481A">
      <w:pPr>
        <w:tabs>
          <w:tab w:val="left" w:pos="2553"/>
        </w:tabs>
        <w:rPr>
          <w:rFonts w:ascii="FrankRuehl" w:hAnsi="FrankRuehl" w:cs="FrankRuehl"/>
          <w:sz w:val="28"/>
          <w:szCs w:val="28"/>
          <w:rtl/>
        </w:rPr>
      </w:pPr>
      <w:r w:rsidRPr="00105E0F">
        <w:rPr>
          <w:rFonts w:ascii="FrankRuehl" w:hAnsi="FrankRuehl" w:cs="FrankRuehl"/>
          <w:sz w:val="28"/>
          <w:szCs w:val="28"/>
          <w:rtl/>
        </w:rPr>
        <w:tab/>
      </w:r>
      <w:r w:rsidRPr="00105E0F">
        <w:rPr>
          <w:rFonts w:ascii="FrankRuehl" w:hAnsi="FrankRuehl" w:cs="FrankRuehl"/>
          <w:sz w:val="28"/>
          <w:szCs w:val="28"/>
          <w:rtl/>
        </w:rPr>
        <w:tab/>
      </w:r>
      <w:r w:rsidRPr="00105E0F">
        <w:rPr>
          <w:rFonts w:ascii="FrankRuehl" w:hAnsi="FrankRuehl" w:cs="FrankRuehl"/>
          <w:sz w:val="28"/>
          <w:szCs w:val="28"/>
          <w:rtl/>
        </w:rPr>
        <w:tab/>
        <w:t xml:space="preserve">        </w:t>
      </w:r>
    </w:p>
    <w:sectPr w:rsidR="00694556" w:rsidRPr="00105E0F" w:rsidSect="00B01789">
      <w:headerReference w:type="default" r:id="rId21"/>
      <w:headerReference w:type="first" r:id="rId22"/>
      <w:pgSz w:w="11907" w:h="16840" w:code="9"/>
      <w:pgMar w:top="1440" w:right="1800" w:bottom="1440" w:left="1800" w:header="720" w:footer="510" w:gutter="0"/>
      <w:cols w:space="720"/>
      <w:titlePg/>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34856615"/>
      <w:docPartObj>
        <w:docPartGallery w:val="Page Numbers (Top of Page)"/>
        <w:docPartUnique/>
      </w:docPartObj>
    </w:sdtPr>
    <w:sdtEndPr>
      <w:rPr>
        <w:cs/>
      </w:rPr>
    </w:sdtEndPr>
    <w:sdtContent>
      <w:p w:rsidR="00B01789" w:rsidRDefault="00B01789">
        <w:pPr>
          <w:pStyle w:val="a5"/>
          <w:jc w:val="center"/>
          <w:rPr>
            <w:rtl/>
            <w:cs/>
          </w:rPr>
        </w:pPr>
        <w:r>
          <w:fldChar w:fldCharType="begin"/>
        </w:r>
        <w:r>
          <w:rPr>
            <w:rtl/>
            <w:cs/>
          </w:rPr>
          <w:instrText>PAGE   \* MERGEFORMAT</w:instrText>
        </w:r>
        <w:r>
          <w:fldChar w:fldCharType="separate"/>
        </w:r>
        <w:r w:rsidR="000467BF" w:rsidRPr="000467BF">
          <w:rPr>
            <w:noProof/>
            <w:rtl/>
            <w:lang w:val="he-IL"/>
          </w:rPr>
          <w:t>20</w:t>
        </w:r>
        <w:r>
          <w:fldChar w:fldCharType="end"/>
        </w:r>
      </w:p>
    </w:sdtContent>
  </w:sdt>
  <w:p w:rsidR="00694556" w:rsidRDefault="00694556" w:rsidP="00860920">
    <w:pPr>
      <w:jc w:val="right"/>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789" w:rsidRDefault="00B01789" w:rsidP="00B01789">
    <w:pPr>
      <w:pStyle w:val="a5"/>
      <w:jc w:val="center"/>
    </w:pPr>
    <w:r>
      <w:rPr>
        <w:noProof/>
      </w:rPr>
      <w:drawing>
        <wp:inline distT="0" distB="0" distL="0" distR="0" wp14:anchorId="49EA0307" wp14:editId="3182FC7C">
          <wp:extent cx="464820" cy="449580"/>
          <wp:effectExtent l="0" t="0" r="0" b="762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6308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1685B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A9E5E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6F8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C6C500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B4D5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34DF0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CBAC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3E952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C880FB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4A4A34AF"/>
    <w:multiLevelType w:val="hybridMultilevel"/>
    <w:tmpl w:val="1766132C"/>
    <w:lvl w:ilvl="0" w:tplc="BFF6E3F6">
      <w:start w:val="1"/>
      <w:numFmt w:val="hebrew1"/>
      <w:lvlText w:val="%1."/>
      <w:lvlJc w:val="left"/>
      <w:pPr>
        <w:ind w:left="2004" w:hanging="360"/>
      </w:pPr>
      <w:rPr>
        <w:sz w:val="28"/>
      </w:rPr>
    </w:lvl>
    <w:lvl w:ilvl="1" w:tplc="04090019">
      <w:start w:val="1"/>
      <w:numFmt w:val="lowerLetter"/>
      <w:lvlText w:val="%2."/>
      <w:lvlJc w:val="left"/>
      <w:pPr>
        <w:ind w:left="2724" w:hanging="360"/>
      </w:pPr>
    </w:lvl>
    <w:lvl w:ilvl="2" w:tplc="0409001B">
      <w:start w:val="1"/>
      <w:numFmt w:val="lowerRoman"/>
      <w:lvlText w:val="%3."/>
      <w:lvlJc w:val="right"/>
      <w:pPr>
        <w:ind w:left="3444" w:hanging="180"/>
      </w:pPr>
    </w:lvl>
    <w:lvl w:ilvl="3" w:tplc="0409000F">
      <w:start w:val="1"/>
      <w:numFmt w:val="decimal"/>
      <w:lvlText w:val="%4."/>
      <w:lvlJc w:val="left"/>
      <w:pPr>
        <w:ind w:left="4164" w:hanging="360"/>
      </w:pPr>
    </w:lvl>
    <w:lvl w:ilvl="4" w:tplc="04090019">
      <w:start w:val="1"/>
      <w:numFmt w:val="lowerLetter"/>
      <w:lvlText w:val="%5."/>
      <w:lvlJc w:val="left"/>
      <w:pPr>
        <w:ind w:left="4884" w:hanging="360"/>
      </w:pPr>
    </w:lvl>
    <w:lvl w:ilvl="5" w:tplc="0409001B">
      <w:start w:val="1"/>
      <w:numFmt w:val="lowerRoman"/>
      <w:lvlText w:val="%6."/>
      <w:lvlJc w:val="right"/>
      <w:pPr>
        <w:ind w:left="5604" w:hanging="180"/>
      </w:pPr>
    </w:lvl>
    <w:lvl w:ilvl="6" w:tplc="0409000F">
      <w:start w:val="1"/>
      <w:numFmt w:val="decimal"/>
      <w:lvlText w:val="%7."/>
      <w:lvlJc w:val="left"/>
      <w:pPr>
        <w:ind w:left="6324" w:hanging="360"/>
      </w:pPr>
    </w:lvl>
    <w:lvl w:ilvl="7" w:tplc="04090019">
      <w:start w:val="1"/>
      <w:numFmt w:val="lowerLetter"/>
      <w:lvlText w:val="%8."/>
      <w:lvlJc w:val="left"/>
      <w:pPr>
        <w:ind w:left="7044" w:hanging="360"/>
      </w:pPr>
    </w:lvl>
    <w:lvl w:ilvl="8" w:tplc="0409001B">
      <w:start w:val="1"/>
      <w:numFmt w:val="lowerRoman"/>
      <w:lvlText w:val="%9."/>
      <w:lvlJc w:val="right"/>
      <w:pPr>
        <w:ind w:left="7764"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5292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3160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31601&amp;lt;/CaseID&amp;gt;_x000d__x000a_        &amp;lt;CaseMonth&amp;gt;4&amp;lt;/CaseMonth&amp;gt;_x000d__x000a_        &amp;lt;CaseYear&amp;gt;2024&amp;lt;/CaseYear&amp;gt;_x000d__x000a_        &amp;lt;CaseNumber&amp;gt;60518&amp;lt;/CaseNumber&amp;gt;_x000d__x000a_        &amp;lt;NumeratorGroupID&amp;gt;1&amp;lt;/NumeratorGroupID&amp;gt;_x000d__x000a_        &amp;lt;CaseName&amp;gt;סנא דקה ואח&amp;#39; נ&amp;#39; קובי יעקובי, ממלא מקום נציב שירות בתי הסוהר ואח&amp;#39;&amp;lt;/CaseName&amp;gt;_x000d__x000a_        &amp;lt;CourtID&amp;gt;11&amp;lt;/CourtID&amp;gt;_x000d__x000a_        &amp;lt;CaseTypeID&amp;gt;10140&amp;lt;/CaseTypeID&amp;gt;_x000d__x000a_        &amp;lt;CaseInterestID&amp;gt;10770&amp;lt;/CaseInterestID&amp;gt;_x000d__x000a_        &amp;lt;ProcedureID&amp;gt;4&amp;lt;/ProcedureID&amp;gt;_x000d__x000a_        &amp;lt;PreviousCaseYear&amp;gt;2024&amp;lt;/PreviousCaseYear&amp;gt;_x000d__x000a_        &amp;lt;PreviousCaseNumber&amp;gt;3289&amp;lt;/PreviousCaseNumber&amp;gt;_x000d__x000a_        &amp;lt;CaseStatusID&amp;gt;1&amp;lt;/CaseStatusID&amp;gt;_x000d__x000a_        &amp;lt;ProceedingID&amp;gt;7&amp;lt;/ProceedingID&amp;gt;_x000d__x000a_        &amp;lt;IsCaseLinked&amp;gt;false&amp;lt;/IsCaseLinked&amp;gt;_x000d__x000a_        &amp;lt;IsCaseConverted&amp;gt;true&amp;lt;/IsCaseConverted&amp;gt;_x000d__x000a_        &amp;lt;PrivilegeID&amp;gt;1&amp;lt;/PrivilegeID&amp;gt;_x000d__x000a_        &amp;lt;IsAppealingCaseExist&amp;gt;false&amp;lt;/IsAppealingCaseExist&amp;gt;_x000d__x000a_        &amp;lt;CaseDisplayIdentifier&amp;gt;3289/24&amp;lt;/CaseDisplayIdentifier&amp;gt;_x000d__x000a_        &amp;lt;CaseTypeDesc&amp;gt;בג&amp;quot;ץ&amp;lt;/CaseTypeDesc&amp;gt;_x000d__x000a_        &amp;lt;CourtDesc&amp;gt;העליון&amp;lt;/CourtDesc&amp;gt;_x000d__x000a_        &amp;lt;CaseStageDesc&amp;gt;תיק נייר מוסב&amp;lt;/CaseStageDesc&amp;gt;_x000d__x000a_        &amp;lt;IsUnpaidFeeExist&amp;gt;false&amp;lt;/IsUnpaidFeeExist&amp;gt;_x000d__x000a_        &amp;lt;CaseOpenDate&amp;gt;2024-04-16T00:00:00+03:00&amp;lt;/CaseOpenDate&amp;gt;_x000d__x000a_        &amp;lt;PleaTypeID&amp;gt;20&amp;lt;/PleaTypeID&amp;gt;_x000d__x000a_        &amp;lt;CourtLevelID&amp;gt;3&amp;lt;/CourtLevelID&amp;gt;_x000d__x000a_        &amp;lt;CourtLevelCaseTypeInterestID&amp;gt;2259&amp;lt;/CourtLevelCaseTypeInterest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PreviousCourtID&amp;gt;1&amp;lt;/PreviousCourtID&amp;gt;_x000d__x000a_        &amp;lt;PreviousCaseTypeID&amp;gt;128&amp;lt;/PreviousCaseTypeID&amp;gt;_x000d__x000a_        &amp;lt;CaseDesc&amp;gt;בקשת האורכה נשלחה ללשכת השופט עמית דרך הנט. הודע למזכירת ההרכב על הבקשה._x000d__x000a_מ.ההרכב נועה לביא. &amp;lt;/CaseDesc&amp;gt;_x000d__x000a_        &amp;lt;isExistMinorSide&amp;gt;false&amp;lt;/isExistMinorSide&amp;gt;_x000d__x000a_        &amp;lt;isExistMinorWitness&amp;gt;false&amp;lt;/isExistMinorWitness&amp;gt;_x000d__x000a_        &amp;lt;PreviousCaseIdentifier&amp;gt;20240032890&amp;lt;/PreviousCaseIdentifier&amp;gt;_x000d__x000a_        &amp;lt;IsAccessibilityRequired&amp;gt;false&amp;lt;/IsAccessibilityRequired&amp;gt;_x000d__x000a_        &amp;lt;IsDecisionTypeZaveElyon&amp;gt;tru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PreviousSerialNumber&amp;gt;0&amp;lt;/PreviousSerialNumber&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31601&amp;lt;/CaseID&amp;gt;_x000d__x000a_        &amp;lt;CaseMonth&amp;gt;4&amp;lt;/CaseMonth&amp;gt;_x000d__x000a_        &amp;lt;CaseYear&amp;gt;2024&amp;lt;/CaseYear&amp;gt;_x000d__x000a_        &amp;lt;CaseNumber&amp;gt;60518&amp;lt;/CaseNumber&amp;gt;_x000d__x000a_        &amp;lt;NumeratorGroupID&amp;gt;1&amp;lt;/NumeratorGroupID&amp;gt;_x000d__x000a_        &amp;lt;CaseName&amp;gt;סנא דקה ואח&amp;#39; נ&amp;#39; קובי יעקובי, ממלא מקום נציב שירות בתי הסוהר ואח&amp;#39;&amp;lt;/CaseName&amp;gt;_x000d__x000a_        &amp;lt;CourtID&amp;gt;11&amp;lt;/CourtID&amp;gt;_x000d__x000a_        &amp;lt;CaseTypeID&amp;gt;10140&amp;lt;/CaseTypeID&amp;gt;_x000d__x000a_        &amp;lt;CaseInterestID&amp;gt;10770&amp;lt;/CaseInterestID&amp;gt;_x000d__x000a_        &amp;lt;ProcedureID&amp;gt;4&amp;lt;/ProcedureID&amp;gt;_x000d__x000a_        &amp;lt;PreviousCaseYear&amp;gt;2024&amp;lt;/PreviousCaseYear&amp;gt;_x000d__x000a_        &amp;lt;PreviousCaseNumber&amp;gt;3289&amp;lt;/PreviousCaseNumber&amp;gt;_x000d__x000a_        &amp;lt;CaseStatusID&amp;gt;1&amp;lt;/CaseStatusID&amp;gt;_x000d__x000a_        &amp;lt;ProceedingID&amp;gt;7&amp;lt;/ProceedingID&amp;gt;_x000d__x000a_        &amp;lt;IsCaseLinked&amp;gt;false&amp;lt;/IsCaseLinked&amp;gt;_x000d__x000a_        &amp;lt;IsCaseConverted&amp;gt;true&amp;lt;/IsCaseConverted&amp;gt;_x000d__x000a_        &amp;lt;PrivilegeID&amp;gt;1&amp;lt;/PrivilegeID&amp;gt;_x000d__x000a_        &amp;lt;IsAppealingCaseExist&amp;gt;false&amp;lt;/IsAppealingCaseExist&amp;gt;_x000d__x000a_        &amp;lt;CaseDisplayIdentifier&amp;gt;3289/24&amp;lt;/CaseDisplayIdentifier&amp;gt;_x000d__x000a_        &amp;lt;CaseTypeDesc&amp;gt;בג&amp;quot;ץ&amp;lt;/CaseTypeDesc&amp;gt;_x000d__x000a_        &amp;lt;CourtDesc&amp;gt;העליון&amp;lt;/CourtDesc&amp;gt;_x000d__x000a_        &amp;lt;CaseStageDesc&amp;gt;תיק נייר מוסב&amp;lt;/CaseStageDesc&amp;gt;_x000d__x000a_        &amp;lt;CaseOpenDate&amp;gt;2024-04-16T00:00:00+03:00&amp;lt;/CaseOpenDate&amp;gt;_x000d__x000a_        &amp;lt;PleaTypeID&amp;gt;20&amp;lt;/PleaTypeID&amp;gt;_x000d__x000a_        &amp;lt;CourtLevelID&amp;gt;3&amp;lt;/CourtLevelID&amp;gt;_x000d__x000a_        &amp;lt;CourtLevelCaseTypeInterestID&amp;gt;2259&amp;lt;/CourtLevelCaseTypeInterest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PreviousCourtID&amp;gt;1&amp;lt;/PreviousCourtID&amp;gt;_x000d__x000a_        &amp;lt;PreviousCaseTypeID&amp;gt;128&amp;lt;/PreviousCaseTypeID&amp;gt;_x000d__x000a_        &amp;lt;CaseDesc&amp;gt;בקשת האורכה נשלחה ללשכת השופט עמית דרך הנט. הודע למזכירת ההרכב על הבקשה._x000d__x000a_מ.ההרכב נועה לביא. &amp;lt;/CaseDesc&amp;gt;_x000d__x000a_        &amp;lt;PreviousCaseIdentifier&amp;gt;20240032890&amp;lt;/PreviousCaseIdentifier&amp;gt;_x000d__x000a_        &amp;lt;IsAccessibilityRequired&amp;gt;false&amp;lt;/IsAccessibilityRequired&amp;gt;_x000d__x000a_        &amp;lt;IsCasePredictedToAge&amp;gt;0&amp;lt;/IsCasePredictedToAge&amp;gt;_x000d__x000a_        &amp;lt;PendingWebSubmissionsQty&amp;gt;0&amp;lt;/PendingWebSubmissionsQty&amp;gt;_x000d__x000a_        &amp;lt;PreviousSerialNumber&amp;gt;0&amp;lt;/PreviousSerialNumber&amp;gt;_x000d__x000a_      &amp;lt;/CasePresentationDataSet&amp;gt;_x000d__x000a_    &amp;lt;/diffgr:before&amp;gt;_x000d__x000a_  &amp;lt;/diffgr:diffgram&amp;gt;_x000d__x000a_&amp;lt;/CasePresentationDS&amp;gt;"/>
    <w:docVar w:name="CourtID" w:val="1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050021&amp;lt;/DecisionID&amp;gt;_x000d__x000a_        &amp;lt;DecisionName&amp;gt;פסק דין  שניתנה ע&amp;quot;י  יצחק עמית&amp;lt;/DecisionName&amp;gt;_x000d__x000a_        &amp;lt;DecisionStatusID&amp;gt;1&amp;lt;/DecisionStatusID&amp;gt;_x000d__x000a_        &amp;lt;DecisionStatusChangeDate&amp;gt;2024-09-30T12:13:31.363+03:00&amp;lt;/DecisionStatusChangeDate&amp;gt;_x000d__x000a_        &amp;lt;DecisionSignatureDate&amp;gt;2024-09-30T12:13:28.773+03:00&amp;lt;/DecisionSignatureDate&amp;gt;_x000d__x000a_        &amp;lt;DecisionSignatureUserID&amp;gt;055489611@GOV.IL&amp;lt;/DecisionSignatureUserID&amp;gt;_x000d__x000a_        &amp;lt;DecisionCreateDate&amp;gt;2024-09-22T11:35:06.77+03:00&amp;lt;/DecisionCreateDate&amp;gt;_x000d__x000a_        &amp;lt;DecisionChangeDate&amp;gt;2024-09-30T12:13:31.49+03:00&amp;lt;/DecisionChangeDate&amp;gt;_x000d__x000a_        &amp;lt;DecisionChangeUserID&amp;gt;02409996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5839337&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4896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099962@GOV.IL&amp;lt;/DecisionCreationUserID&amp;gt;_x000d__x000a_        &amp;lt;DecisionDisplayName&amp;gt;פסק דין  שניתנה ע&amp;quot;י  יצחק עמית&amp;lt;/DecisionDisplayName&amp;gt;_x000d__x000a_        &amp;lt;IsScanned&amp;gt;false&amp;lt;/IsScanned&amp;gt;_x000d__x000a_        &amp;lt;DecisionSignatureUserName&amp;gt;יצחק עמי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ecisionMeetingDate&amp;gt;2024-09-22T00:00:00+03:00&amp;lt;/DecisionMeetingDate&amp;gt;_x000d__x000a_      &amp;lt;/dt_Decision&amp;gt;_x000d__x000a_      &amp;lt;dt_DecisionCase diffgr:id=&amp;quot;dt_DecisionCase1&amp;quot; msdata:rowOrder=&amp;quot;0&amp;quot;&amp;gt;_x000d__x000a_        &amp;lt;DecisionID&amp;gt;155050021&amp;lt;/DecisionID&amp;gt;_x000d__x000a_        &amp;lt;CaseID&amp;gt;81831601&amp;lt;/CaseID&amp;gt;_x000d__x000a_        &amp;lt;IsOriginal&amp;gt;true&amp;lt;/IsOriginal&amp;gt;_x000d__x000a_        &amp;lt;IsDeleted&amp;gt;false&amp;lt;/IsDeleted&amp;gt;_x000d__x000a_        &amp;lt;CaseName&amp;gt;סנא דקה ואח&amp;#39; נ&amp;#39; קובי יעקובי, ממלא מקום נציב שירות בתי הסוהר ואח&amp;#39;&amp;lt;/CaseName&amp;gt;_x000d__x000a_        &amp;lt;CaseDisplayIdentifier&amp;gt;בג&amp;quot;ץ 3289/24&amp;lt;/CaseDisplayIdentifier&amp;gt;_x000d__x000a_      &amp;lt;/dt_DecisionCase&amp;gt;_x000d__x000a_    &amp;lt;/DecisionDS&amp;gt;_x000d__x000a_  &amp;lt;/diffgr:diffgram&amp;gt;_x000d__x000a_&amp;lt;/DecisionDS&amp;gt;"/>
    <w:docVar w:name="DecisionID" w:val="155050021"/>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467BF"/>
    <w:rsid w:val="000529D2"/>
    <w:rsid w:val="000564AB"/>
    <w:rsid w:val="00064FBD"/>
    <w:rsid w:val="00082AB2"/>
    <w:rsid w:val="000906FE"/>
    <w:rsid w:val="00096AF7"/>
    <w:rsid w:val="000B344B"/>
    <w:rsid w:val="000C3B0F"/>
    <w:rsid w:val="000C3B60"/>
    <w:rsid w:val="000E0DD2"/>
    <w:rsid w:val="000E12EA"/>
    <w:rsid w:val="000E3AF1"/>
    <w:rsid w:val="000F0BC8"/>
    <w:rsid w:val="000F0DD6"/>
    <w:rsid w:val="00103959"/>
    <w:rsid w:val="00105E0F"/>
    <w:rsid w:val="00107E6D"/>
    <w:rsid w:val="0011194C"/>
    <w:rsid w:val="0011424C"/>
    <w:rsid w:val="001173C6"/>
    <w:rsid w:val="0012190F"/>
    <w:rsid w:val="001367BC"/>
    <w:rsid w:val="00144D2A"/>
    <w:rsid w:val="0014653E"/>
    <w:rsid w:val="00180519"/>
    <w:rsid w:val="00191C82"/>
    <w:rsid w:val="001B30C3"/>
    <w:rsid w:val="001C4003"/>
    <w:rsid w:val="001D4DBF"/>
    <w:rsid w:val="001E75CA"/>
    <w:rsid w:val="002265FF"/>
    <w:rsid w:val="00235B97"/>
    <w:rsid w:val="00271B56"/>
    <w:rsid w:val="002C344E"/>
    <w:rsid w:val="002C53BA"/>
    <w:rsid w:val="002E4257"/>
    <w:rsid w:val="002E75E9"/>
    <w:rsid w:val="002F0B1E"/>
    <w:rsid w:val="00307A6A"/>
    <w:rsid w:val="00307C40"/>
    <w:rsid w:val="00320433"/>
    <w:rsid w:val="003230C7"/>
    <w:rsid w:val="00323F8A"/>
    <w:rsid w:val="00327E50"/>
    <w:rsid w:val="00327FBE"/>
    <w:rsid w:val="0033597A"/>
    <w:rsid w:val="00343D89"/>
    <w:rsid w:val="00360321"/>
    <w:rsid w:val="00362612"/>
    <w:rsid w:val="0036743F"/>
    <w:rsid w:val="00367B06"/>
    <w:rsid w:val="003711E5"/>
    <w:rsid w:val="003715DD"/>
    <w:rsid w:val="003823E0"/>
    <w:rsid w:val="00397836"/>
    <w:rsid w:val="003A4521"/>
    <w:rsid w:val="003B3E8D"/>
    <w:rsid w:val="003D1C8C"/>
    <w:rsid w:val="003F781C"/>
    <w:rsid w:val="0040096C"/>
    <w:rsid w:val="00414F1F"/>
    <w:rsid w:val="00417A71"/>
    <w:rsid w:val="004240D5"/>
    <w:rsid w:val="0043125D"/>
    <w:rsid w:val="0043502B"/>
    <w:rsid w:val="004443AC"/>
    <w:rsid w:val="00444B02"/>
    <w:rsid w:val="00451E28"/>
    <w:rsid w:val="00462C62"/>
    <w:rsid w:val="00465D36"/>
    <w:rsid w:val="004974A6"/>
    <w:rsid w:val="004A4459"/>
    <w:rsid w:val="004B3A40"/>
    <w:rsid w:val="004C17EE"/>
    <w:rsid w:val="004C4BDF"/>
    <w:rsid w:val="004C693B"/>
    <w:rsid w:val="004D1187"/>
    <w:rsid w:val="004D3AA0"/>
    <w:rsid w:val="004D511C"/>
    <w:rsid w:val="004E1987"/>
    <w:rsid w:val="004E2347"/>
    <w:rsid w:val="004E2E15"/>
    <w:rsid w:val="004E6E3C"/>
    <w:rsid w:val="004F51B7"/>
    <w:rsid w:val="00511B90"/>
    <w:rsid w:val="00520898"/>
    <w:rsid w:val="00523621"/>
    <w:rsid w:val="00524986"/>
    <w:rsid w:val="0052547C"/>
    <w:rsid w:val="005268F6"/>
    <w:rsid w:val="00534284"/>
    <w:rsid w:val="00547DB7"/>
    <w:rsid w:val="00562D52"/>
    <w:rsid w:val="00566637"/>
    <w:rsid w:val="005777A3"/>
    <w:rsid w:val="005B066A"/>
    <w:rsid w:val="005C0627"/>
    <w:rsid w:val="005D7C4B"/>
    <w:rsid w:val="005E51F3"/>
    <w:rsid w:val="005F4F09"/>
    <w:rsid w:val="0061431B"/>
    <w:rsid w:val="00622BAA"/>
    <w:rsid w:val="006306CF"/>
    <w:rsid w:val="006318D8"/>
    <w:rsid w:val="00644E9A"/>
    <w:rsid w:val="00671BD5"/>
    <w:rsid w:val="006805C1"/>
    <w:rsid w:val="00686C21"/>
    <w:rsid w:val="006931C1"/>
    <w:rsid w:val="00694556"/>
    <w:rsid w:val="006B7258"/>
    <w:rsid w:val="006C30C5"/>
    <w:rsid w:val="006C3D44"/>
    <w:rsid w:val="006C6ED2"/>
    <w:rsid w:val="006D2099"/>
    <w:rsid w:val="006D3B31"/>
    <w:rsid w:val="006E0D96"/>
    <w:rsid w:val="006E1A53"/>
    <w:rsid w:val="006F56E6"/>
    <w:rsid w:val="00704EDA"/>
    <w:rsid w:val="00721122"/>
    <w:rsid w:val="00734689"/>
    <w:rsid w:val="00753019"/>
    <w:rsid w:val="00754801"/>
    <w:rsid w:val="00761441"/>
    <w:rsid w:val="00793235"/>
    <w:rsid w:val="00795365"/>
    <w:rsid w:val="007A351D"/>
    <w:rsid w:val="007B7765"/>
    <w:rsid w:val="007C5BDD"/>
    <w:rsid w:val="007D45E3"/>
    <w:rsid w:val="007E6115"/>
    <w:rsid w:val="007F4609"/>
    <w:rsid w:val="008115B0"/>
    <w:rsid w:val="00814468"/>
    <w:rsid w:val="008176A1"/>
    <w:rsid w:val="00820005"/>
    <w:rsid w:val="00841158"/>
    <w:rsid w:val="00844318"/>
    <w:rsid w:val="00851257"/>
    <w:rsid w:val="00860920"/>
    <w:rsid w:val="00863F5D"/>
    <w:rsid w:val="00870890"/>
    <w:rsid w:val="00873602"/>
    <w:rsid w:val="00875D12"/>
    <w:rsid w:val="0088479D"/>
    <w:rsid w:val="0089016B"/>
    <w:rsid w:val="00891F42"/>
    <w:rsid w:val="00895881"/>
    <w:rsid w:val="00896889"/>
    <w:rsid w:val="008A481A"/>
    <w:rsid w:val="008A59EE"/>
    <w:rsid w:val="008A6E97"/>
    <w:rsid w:val="008C5714"/>
    <w:rsid w:val="008D10B2"/>
    <w:rsid w:val="00903896"/>
    <w:rsid w:val="00906F3D"/>
    <w:rsid w:val="009208FE"/>
    <w:rsid w:val="00926490"/>
    <w:rsid w:val="00931A9D"/>
    <w:rsid w:val="0094424E"/>
    <w:rsid w:val="00955642"/>
    <w:rsid w:val="00960D2B"/>
    <w:rsid w:val="009622DF"/>
    <w:rsid w:val="0096493F"/>
    <w:rsid w:val="00967DFF"/>
    <w:rsid w:val="00991FC5"/>
    <w:rsid w:val="00994341"/>
    <w:rsid w:val="009D1A48"/>
    <w:rsid w:val="009D426B"/>
    <w:rsid w:val="009E1CE7"/>
    <w:rsid w:val="009E210F"/>
    <w:rsid w:val="009E4EA5"/>
    <w:rsid w:val="009F164B"/>
    <w:rsid w:val="009F323C"/>
    <w:rsid w:val="00A131B7"/>
    <w:rsid w:val="00A3392B"/>
    <w:rsid w:val="00A35ADB"/>
    <w:rsid w:val="00A81988"/>
    <w:rsid w:val="00A85E34"/>
    <w:rsid w:val="00A87DF6"/>
    <w:rsid w:val="00A9144F"/>
    <w:rsid w:val="00A94B64"/>
    <w:rsid w:val="00AA3229"/>
    <w:rsid w:val="00AA7596"/>
    <w:rsid w:val="00AB5E52"/>
    <w:rsid w:val="00AC3B02"/>
    <w:rsid w:val="00AC3B7B"/>
    <w:rsid w:val="00AC5209"/>
    <w:rsid w:val="00AD1F82"/>
    <w:rsid w:val="00AE0E34"/>
    <w:rsid w:val="00AE5E4F"/>
    <w:rsid w:val="00AE729E"/>
    <w:rsid w:val="00AE7752"/>
    <w:rsid w:val="00AF2178"/>
    <w:rsid w:val="00AF72DE"/>
    <w:rsid w:val="00AF7FDA"/>
    <w:rsid w:val="00B01789"/>
    <w:rsid w:val="00B5356E"/>
    <w:rsid w:val="00B62AD7"/>
    <w:rsid w:val="00B66717"/>
    <w:rsid w:val="00B77019"/>
    <w:rsid w:val="00B809AD"/>
    <w:rsid w:val="00B80CBD"/>
    <w:rsid w:val="00B86096"/>
    <w:rsid w:val="00B95D6E"/>
    <w:rsid w:val="00B964D9"/>
    <w:rsid w:val="00BA0A7C"/>
    <w:rsid w:val="00BA0FB7"/>
    <w:rsid w:val="00BA517C"/>
    <w:rsid w:val="00BB3D05"/>
    <w:rsid w:val="00BB73BE"/>
    <w:rsid w:val="00BC2D89"/>
    <w:rsid w:val="00BC5A54"/>
    <w:rsid w:val="00BD6531"/>
    <w:rsid w:val="00BE05B2"/>
    <w:rsid w:val="00BF1908"/>
    <w:rsid w:val="00C105F9"/>
    <w:rsid w:val="00C22D93"/>
    <w:rsid w:val="00C23458"/>
    <w:rsid w:val="00C31120"/>
    <w:rsid w:val="00C335A9"/>
    <w:rsid w:val="00C34482"/>
    <w:rsid w:val="00C43648"/>
    <w:rsid w:val="00C50A9F"/>
    <w:rsid w:val="00C55EB3"/>
    <w:rsid w:val="00C615AB"/>
    <w:rsid w:val="00C642FA"/>
    <w:rsid w:val="00CC7622"/>
    <w:rsid w:val="00CD516B"/>
    <w:rsid w:val="00CD608F"/>
    <w:rsid w:val="00CE0084"/>
    <w:rsid w:val="00CF6BB7"/>
    <w:rsid w:val="00D04AA4"/>
    <w:rsid w:val="00D26B63"/>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19A3"/>
    <w:rsid w:val="00E5426A"/>
    <w:rsid w:val="00E54642"/>
    <w:rsid w:val="00E80CBE"/>
    <w:rsid w:val="00E9269D"/>
    <w:rsid w:val="00E9345A"/>
    <w:rsid w:val="00E962E3"/>
    <w:rsid w:val="00EB2082"/>
    <w:rsid w:val="00EB6C79"/>
    <w:rsid w:val="00EC37E9"/>
    <w:rsid w:val="00EC6ACB"/>
    <w:rsid w:val="00EE6389"/>
    <w:rsid w:val="00F00791"/>
    <w:rsid w:val="00F038D8"/>
    <w:rsid w:val="00F06995"/>
    <w:rsid w:val="00F117C4"/>
    <w:rsid w:val="00F12D66"/>
    <w:rsid w:val="00F1337C"/>
    <w:rsid w:val="00F13623"/>
    <w:rsid w:val="00F221DB"/>
    <w:rsid w:val="00F44D1D"/>
    <w:rsid w:val="00F50D5E"/>
    <w:rsid w:val="00F82B59"/>
    <w:rsid w:val="00F84B6D"/>
    <w:rsid w:val="00F856E6"/>
    <w:rsid w:val="00F957E8"/>
    <w:rsid w:val="00FA20C9"/>
    <w:rsid w:val="00FA311A"/>
    <w:rsid w:val="00FA5FDA"/>
    <w:rsid w:val="00FA7FD0"/>
    <w:rsid w:val="00FB6AB3"/>
    <w:rsid w:val="00FD1419"/>
    <w:rsid w:val="00FD79E4"/>
    <w:rsid w:val="00FE09EC"/>
    <w:rsid w:val="00FE2894"/>
    <w:rsid w:val="00FE3FE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5292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F007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F0079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unhideWhenUsed/>
    <w:qFormat/>
    <w:rsid w:val="00F00791"/>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F00791"/>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F00791"/>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F00791"/>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F0079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F0079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C64423"/>
    <w:pPr>
      <w:tabs>
        <w:tab w:val="center" w:pos="4153"/>
        <w:tab w:val="right" w:pos="8306"/>
      </w:tabs>
    </w:pPr>
  </w:style>
  <w:style w:type="paragraph" w:styleId="a7">
    <w:name w:val="footer"/>
    <w:basedOn w:val="a1"/>
    <w:rsid w:val="00C64423"/>
    <w:pPr>
      <w:tabs>
        <w:tab w:val="center" w:pos="4153"/>
        <w:tab w:val="right" w:pos="8306"/>
      </w:tabs>
    </w:pPr>
  </w:style>
  <w:style w:type="paragraph" w:customStyle="1" w:styleId="a8">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9">
    <w:name w:val="annotation text"/>
    <w:basedOn w:val="a1"/>
    <w:link w:val="aa"/>
    <w:semiHidden/>
    <w:rsid w:val="00C64423"/>
    <w:rPr>
      <w:rFonts w:cs="Times New Roman"/>
    </w:rPr>
  </w:style>
  <w:style w:type="character" w:styleId="ab">
    <w:name w:val="annotation reference"/>
    <w:basedOn w:val="a2"/>
    <w:semiHidden/>
    <w:rsid w:val="00C64423"/>
    <w:rPr>
      <w:noProof w:val="0"/>
      <w:sz w:val="16"/>
      <w:szCs w:val="16"/>
    </w:rPr>
  </w:style>
  <w:style w:type="paragraph" w:styleId="ac">
    <w:name w:val="Balloon Text"/>
    <w:basedOn w:val="a1"/>
    <w:semiHidden/>
    <w:rsid w:val="00C64423"/>
    <w:rPr>
      <w:rFonts w:ascii="Tahoma" w:hAnsi="Tahoma" w:cs="Tahoma"/>
      <w:sz w:val="16"/>
      <w:szCs w:val="16"/>
    </w:rPr>
  </w:style>
  <w:style w:type="table" w:styleId="ad">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2"/>
    <w:rsid w:val="00C64423"/>
    <w:rPr>
      <w:noProof w:val="0"/>
    </w:rPr>
  </w:style>
  <w:style w:type="character" w:styleId="af">
    <w:name w:val="page number"/>
    <w:basedOn w:val="a2"/>
    <w:rsid w:val="00C64423"/>
    <w:rPr>
      <w:noProof w:val="0"/>
    </w:rPr>
  </w:style>
  <w:style w:type="table" w:customStyle="1" w:styleId="11">
    <w:name w:val="טבלת רשת1"/>
    <w:basedOn w:val="a3"/>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2"/>
    <w:uiPriority w:val="99"/>
    <w:semiHidden/>
    <w:rsid w:val="003230C7"/>
    <w:rPr>
      <w:noProof w:val="0"/>
      <w:color w:val="808080"/>
    </w:rPr>
  </w:style>
  <w:style w:type="character" w:customStyle="1" w:styleId="a6">
    <w:name w:val="כותרת עליונה תו"/>
    <w:basedOn w:val="a2"/>
    <w:link w:val="a5"/>
    <w:uiPriority w:val="99"/>
    <w:rsid w:val="00B01789"/>
    <w:rPr>
      <w:rFonts w:cs="David"/>
      <w:noProof w:val="0"/>
      <w:sz w:val="24"/>
      <w:szCs w:val="24"/>
    </w:rPr>
  </w:style>
  <w:style w:type="character" w:customStyle="1" w:styleId="Ruller4">
    <w:name w:val="Ruller4 תו"/>
    <w:link w:val="Ruller40"/>
    <w:locked/>
    <w:rsid w:val="00991FC5"/>
    <w:rPr>
      <w:rFonts w:ascii="Arial TUR" w:hAnsi="Arial TUR" w:cs="FrankRuehl"/>
      <w:spacing w:val="10"/>
      <w:sz w:val="22"/>
      <w:szCs w:val="28"/>
    </w:rPr>
  </w:style>
  <w:style w:type="paragraph" w:customStyle="1" w:styleId="Ruller40">
    <w:name w:val="Ruller4"/>
    <w:basedOn w:val="a1"/>
    <w:link w:val="Ruller4"/>
    <w:rsid w:val="00991FC5"/>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 w:type="character" w:styleId="FollowedHyperlink">
    <w:name w:val="FollowedHyperlink"/>
    <w:basedOn w:val="a2"/>
    <w:semiHidden/>
    <w:unhideWhenUsed/>
    <w:rsid w:val="00F00791"/>
    <w:rPr>
      <w:noProof w:val="0"/>
      <w:color w:val="800080" w:themeColor="followedHyperlink"/>
      <w:u w:val="single"/>
    </w:rPr>
  </w:style>
  <w:style w:type="character" w:styleId="HTMLCite">
    <w:name w:val="HTML Cite"/>
    <w:basedOn w:val="a2"/>
    <w:semiHidden/>
    <w:unhideWhenUsed/>
    <w:rsid w:val="00F00791"/>
    <w:rPr>
      <w:i/>
      <w:iCs/>
      <w:noProof w:val="0"/>
    </w:rPr>
  </w:style>
  <w:style w:type="character" w:styleId="HTMLCode">
    <w:name w:val="HTML Code"/>
    <w:basedOn w:val="a2"/>
    <w:semiHidden/>
    <w:unhideWhenUsed/>
    <w:rsid w:val="00F00791"/>
    <w:rPr>
      <w:rFonts w:ascii="Consolas" w:hAnsi="Consolas"/>
      <w:noProof w:val="0"/>
      <w:sz w:val="20"/>
      <w:szCs w:val="20"/>
    </w:rPr>
  </w:style>
  <w:style w:type="character" w:styleId="HTMLDefinition">
    <w:name w:val="HTML Definition"/>
    <w:basedOn w:val="a2"/>
    <w:semiHidden/>
    <w:unhideWhenUsed/>
    <w:rsid w:val="00F00791"/>
    <w:rPr>
      <w:i/>
      <w:iCs/>
      <w:noProof w:val="0"/>
    </w:rPr>
  </w:style>
  <w:style w:type="character" w:styleId="HTMLVariable">
    <w:name w:val="HTML Variable"/>
    <w:basedOn w:val="a2"/>
    <w:semiHidden/>
    <w:unhideWhenUsed/>
    <w:rsid w:val="00F00791"/>
    <w:rPr>
      <w:i/>
      <w:iCs/>
      <w:noProof w:val="0"/>
    </w:rPr>
  </w:style>
  <w:style w:type="paragraph" w:styleId="HTML">
    <w:name w:val="HTML Preformatted"/>
    <w:basedOn w:val="a1"/>
    <w:link w:val="HTML0"/>
    <w:semiHidden/>
    <w:unhideWhenUsed/>
    <w:rsid w:val="00F00791"/>
    <w:rPr>
      <w:rFonts w:ascii="Consolas" w:hAnsi="Consolas"/>
      <w:sz w:val="20"/>
      <w:szCs w:val="20"/>
    </w:rPr>
  </w:style>
  <w:style w:type="character" w:customStyle="1" w:styleId="HTML0">
    <w:name w:val="HTML מעוצב מראש תו"/>
    <w:basedOn w:val="a2"/>
    <w:link w:val="HTML"/>
    <w:semiHidden/>
    <w:rsid w:val="00F00791"/>
    <w:rPr>
      <w:rFonts w:ascii="Consolas" w:hAnsi="Consolas" w:cs="David"/>
      <w:noProof w:val="0"/>
    </w:rPr>
  </w:style>
  <w:style w:type="character" w:styleId="Hyperlink">
    <w:name w:val="Hyperlink"/>
    <w:basedOn w:val="a2"/>
    <w:semiHidden/>
    <w:unhideWhenUsed/>
    <w:rsid w:val="00F00791"/>
    <w:rPr>
      <w:noProof w:val="0"/>
      <w:color w:val="0000FF" w:themeColor="hyperlink"/>
      <w:u w:val="single"/>
    </w:rPr>
  </w:style>
  <w:style w:type="paragraph" w:styleId="Index1">
    <w:name w:val="index 1"/>
    <w:basedOn w:val="a1"/>
    <w:next w:val="a1"/>
    <w:autoRedefine/>
    <w:semiHidden/>
    <w:unhideWhenUsed/>
    <w:rsid w:val="00F00791"/>
    <w:pPr>
      <w:ind w:left="240" w:hanging="240"/>
    </w:pPr>
  </w:style>
  <w:style w:type="paragraph" w:styleId="Index2">
    <w:name w:val="index 2"/>
    <w:basedOn w:val="a1"/>
    <w:next w:val="a1"/>
    <w:autoRedefine/>
    <w:semiHidden/>
    <w:unhideWhenUsed/>
    <w:rsid w:val="00F00791"/>
    <w:pPr>
      <w:ind w:left="480" w:hanging="240"/>
    </w:pPr>
  </w:style>
  <w:style w:type="paragraph" w:styleId="Index3">
    <w:name w:val="index 3"/>
    <w:basedOn w:val="a1"/>
    <w:next w:val="a1"/>
    <w:autoRedefine/>
    <w:semiHidden/>
    <w:unhideWhenUsed/>
    <w:rsid w:val="00F00791"/>
    <w:pPr>
      <w:ind w:left="720" w:hanging="240"/>
    </w:pPr>
  </w:style>
  <w:style w:type="paragraph" w:styleId="Index4">
    <w:name w:val="index 4"/>
    <w:basedOn w:val="a1"/>
    <w:next w:val="a1"/>
    <w:autoRedefine/>
    <w:semiHidden/>
    <w:unhideWhenUsed/>
    <w:rsid w:val="00F00791"/>
    <w:pPr>
      <w:ind w:left="960" w:hanging="240"/>
    </w:pPr>
  </w:style>
  <w:style w:type="paragraph" w:styleId="Index5">
    <w:name w:val="index 5"/>
    <w:basedOn w:val="a1"/>
    <w:next w:val="a1"/>
    <w:autoRedefine/>
    <w:semiHidden/>
    <w:unhideWhenUsed/>
    <w:rsid w:val="00F00791"/>
    <w:pPr>
      <w:ind w:left="1200" w:hanging="240"/>
    </w:pPr>
  </w:style>
  <w:style w:type="paragraph" w:styleId="Index6">
    <w:name w:val="index 6"/>
    <w:basedOn w:val="a1"/>
    <w:next w:val="a1"/>
    <w:autoRedefine/>
    <w:semiHidden/>
    <w:unhideWhenUsed/>
    <w:rsid w:val="00F00791"/>
    <w:pPr>
      <w:ind w:left="1440" w:hanging="240"/>
    </w:pPr>
  </w:style>
  <w:style w:type="paragraph" w:styleId="Index7">
    <w:name w:val="index 7"/>
    <w:basedOn w:val="a1"/>
    <w:next w:val="a1"/>
    <w:autoRedefine/>
    <w:semiHidden/>
    <w:unhideWhenUsed/>
    <w:rsid w:val="00F00791"/>
    <w:pPr>
      <w:ind w:left="1680" w:hanging="240"/>
    </w:pPr>
  </w:style>
  <w:style w:type="paragraph" w:styleId="Index8">
    <w:name w:val="index 8"/>
    <w:basedOn w:val="a1"/>
    <w:next w:val="a1"/>
    <w:autoRedefine/>
    <w:semiHidden/>
    <w:unhideWhenUsed/>
    <w:rsid w:val="00F00791"/>
    <w:pPr>
      <w:ind w:left="1920" w:hanging="240"/>
    </w:pPr>
  </w:style>
  <w:style w:type="paragraph" w:styleId="Index9">
    <w:name w:val="index 9"/>
    <w:basedOn w:val="a1"/>
    <w:next w:val="a1"/>
    <w:autoRedefine/>
    <w:semiHidden/>
    <w:unhideWhenUsed/>
    <w:rsid w:val="00F00791"/>
    <w:pPr>
      <w:ind w:left="2160" w:hanging="240"/>
    </w:pPr>
  </w:style>
  <w:style w:type="paragraph" w:styleId="NormalWeb">
    <w:name w:val="Normal (Web)"/>
    <w:basedOn w:val="a1"/>
    <w:semiHidden/>
    <w:unhideWhenUsed/>
    <w:rsid w:val="00F00791"/>
    <w:rPr>
      <w:rFonts w:cs="Times New Roman"/>
    </w:rPr>
  </w:style>
  <w:style w:type="paragraph" w:styleId="TOC1">
    <w:name w:val="toc 1"/>
    <w:basedOn w:val="a1"/>
    <w:next w:val="a1"/>
    <w:autoRedefine/>
    <w:semiHidden/>
    <w:unhideWhenUsed/>
    <w:rsid w:val="00F00791"/>
    <w:pPr>
      <w:spacing w:after="100"/>
    </w:pPr>
  </w:style>
  <w:style w:type="paragraph" w:styleId="TOC2">
    <w:name w:val="toc 2"/>
    <w:basedOn w:val="a1"/>
    <w:next w:val="a1"/>
    <w:autoRedefine/>
    <w:semiHidden/>
    <w:unhideWhenUsed/>
    <w:rsid w:val="00F00791"/>
    <w:pPr>
      <w:spacing w:after="100"/>
      <w:ind w:left="240"/>
    </w:pPr>
  </w:style>
  <w:style w:type="paragraph" w:styleId="TOC3">
    <w:name w:val="toc 3"/>
    <w:basedOn w:val="a1"/>
    <w:next w:val="a1"/>
    <w:autoRedefine/>
    <w:semiHidden/>
    <w:unhideWhenUsed/>
    <w:rsid w:val="00F00791"/>
    <w:pPr>
      <w:spacing w:after="100"/>
      <w:ind w:left="480"/>
    </w:pPr>
  </w:style>
  <w:style w:type="paragraph" w:styleId="TOC4">
    <w:name w:val="toc 4"/>
    <w:basedOn w:val="a1"/>
    <w:next w:val="a1"/>
    <w:autoRedefine/>
    <w:semiHidden/>
    <w:unhideWhenUsed/>
    <w:rsid w:val="00F00791"/>
    <w:pPr>
      <w:spacing w:after="100"/>
      <w:ind w:left="720"/>
    </w:pPr>
  </w:style>
  <w:style w:type="paragraph" w:styleId="TOC5">
    <w:name w:val="toc 5"/>
    <w:basedOn w:val="a1"/>
    <w:next w:val="a1"/>
    <w:autoRedefine/>
    <w:semiHidden/>
    <w:unhideWhenUsed/>
    <w:rsid w:val="00F00791"/>
    <w:pPr>
      <w:spacing w:after="100"/>
      <w:ind w:left="960"/>
    </w:pPr>
  </w:style>
  <w:style w:type="paragraph" w:styleId="TOC6">
    <w:name w:val="toc 6"/>
    <w:basedOn w:val="a1"/>
    <w:next w:val="a1"/>
    <w:autoRedefine/>
    <w:semiHidden/>
    <w:unhideWhenUsed/>
    <w:rsid w:val="00F00791"/>
    <w:pPr>
      <w:spacing w:after="100"/>
      <w:ind w:left="1200"/>
    </w:pPr>
  </w:style>
  <w:style w:type="paragraph" w:styleId="TOC7">
    <w:name w:val="toc 7"/>
    <w:basedOn w:val="a1"/>
    <w:next w:val="a1"/>
    <w:autoRedefine/>
    <w:semiHidden/>
    <w:unhideWhenUsed/>
    <w:rsid w:val="00F00791"/>
    <w:pPr>
      <w:spacing w:after="100"/>
      <w:ind w:left="1440"/>
    </w:pPr>
  </w:style>
  <w:style w:type="paragraph" w:styleId="TOC8">
    <w:name w:val="toc 8"/>
    <w:basedOn w:val="a1"/>
    <w:next w:val="a1"/>
    <w:autoRedefine/>
    <w:semiHidden/>
    <w:unhideWhenUsed/>
    <w:rsid w:val="00F00791"/>
    <w:pPr>
      <w:spacing w:after="100"/>
      <w:ind w:left="1680"/>
    </w:pPr>
  </w:style>
  <w:style w:type="paragraph" w:styleId="TOC9">
    <w:name w:val="toc 9"/>
    <w:basedOn w:val="a1"/>
    <w:next w:val="a1"/>
    <w:autoRedefine/>
    <w:semiHidden/>
    <w:unhideWhenUsed/>
    <w:rsid w:val="00F00791"/>
    <w:pPr>
      <w:spacing w:after="100"/>
      <w:ind w:left="1920"/>
    </w:pPr>
  </w:style>
  <w:style w:type="table" w:styleId="-1">
    <w:name w:val="Table 3D effects 1"/>
    <w:basedOn w:val="a3"/>
    <w:semiHidden/>
    <w:unhideWhenUsed/>
    <w:rsid w:val="00F00791"/>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F00791"/>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F00791"/>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F00791"/>
  </w:style>
  <w:style w:type="paragraph" w:styleId="af2">
    <w:name w:val="Salutation"/>
    <w:basedOn w:val="a1"/>
    <w:next w:val="a1"/>
    <w:link w:val="af3"/>
    <w:rsid w:val="00F00791"/>
  </w:style>
  <w:style w:type="character" w:customStyle="1" w:styleId="af3">
    <w:name w:val="ברכה תו"/>
    <w:basedOn w:val="a2"/>
    <w:link w:val="af2"/>
    <w:rsid w:val="00F00791"/>
    <w:rPr>
      <w:rFonts w:cs="David"/>
      <w:noProof w:val="0"/>
      <w:sz w:val="24"/>
      <w:szCs w:val="24"/>
    </w:rPr>
  </w:style>
  <w:style w:type="paragraph" w:styleId="af4">
    <w:name w:val="Body Text"/>
    <w:basedOn w:val="a1"/>
    <w:link w:val="af5"/>
    <w:semiHidden/>
    <w:unhideWhenUsed/>
    <w:rsid w:val="00F00791"/>
    <w:pPr>
      <w:spacing w:after="120"/>
    </w:pPr>
  </w:style>
  <w:style w:type="character" w:customStyle="1" w:styleId="af5">
    <w:name w:val="גוף טקסט תו"/>
    <w:basedOn w:val="a2"/>
    <w:link w:val="af4"/>
    <w:semiHidden/>
    <w:rsid w:val="00F00791"/>
    <w:rPr>
      <w:rFonts w:cs="David"/>
      <w:noProof w:val="0"/>
      <w:sz w:val="24"/>
      <w:szCs w:val="24"/>
    </w:rPr>
  </w:style>
  <w:style w:type="paragraph" w:styleId="23">
    <w:name w:val="Body Text 2"/>
    <w:basedOn w:val="a1"/>
    <w:link w:val="24"/>
    <w:semiHidden/>
    <w:unhideWhenUsed/>
    <w:rsid w:val="00F00791"/>
    <w:pPr>
      <w:spacing w:after="120" w:line="480" w:lineRule="auto"/>
    </w:pPr>
  </w:style>
  <w:style w:type="character" w:customStyle="1" w:styleId="24">
    <w:name w:val="גוף טקסט 2 תו"/>
    <w:basedOn w:val="a2"/>
    <w:link w:val="23"/>
    <w:semiHidden/>
    <w:rsid w:val="00F00791"/>
    <w:rPr>
      <w:rFonts w:cs="David"/>
      <w:noProof w:val="0"/>
      <w:sz w:val="24"/>
      <w:szCs w:val="24"/>
    </w:rPr>
  </w:style>
  <w:style w:type="paragraph" w:styleId="33">
    <w:name w:val="Body Text 3"/>
    <w:basedOn w:val="a1"/>
    <w:link w:val="34"/>
    <w:semiHidden/>
    <w:unhideWhenUsed/>
    <w:rsid w:val="00F00791"/>
    <w:pPr>
      <w:spacing w:after="120"/>
    </w:pPr>
    <w:rPr>
      <w:sz w:val="16"/>
      <w:szCs w:val="16"/>
    </w:rPr>
  </w:style>
  <w:style w:type="character" w:customStyle="1" w:styleId="34">
    <w:name w:val="גוף טקסט 3 תו"/>
    <w:basedOn w:val="a2"/>
    <w:link w:val="33"/>
    <w:semiHidden/>
    <w:rsid w:val="00F00791"/>
    <w:rPr>
      <w:rFonts w:cs="David"/>
      <w:noProof w:val="0"/>
      <w:sz w:val="16"/>
      <w:szCs w:val="16"/>
    </w:rPr>
  </w:style>
  <w:style w:type="character" w:styleId="HTML1">
    <w:name w:val="HTML Sample"/>
    <w:basedOn w:val="a2"/>
    <w:semiHidden/>
    <w:unhideWhenUsed/>
    <w:rsid w:val="00F00791"/>
    <w:rPr>
      <w:rFonts w:ascii="Consolas" w:hAnsi="Consolas"/>
      <w:noProof w:val="0"/>
      <w:sz w:val="24"/>
      <w:szCs w:val="24"/>
    </w:rPr>
  </w:style>
  <w:style w:type="character" w:styleId="af6">
    <w:name w:val="Emphasis"/>
    <w:basedOn w:val="a2"/>
    <w:qFormat/>
    <w:rsid w:val="00F00791"/>
    <w:rPr>
      <w:i/>
      <w:iCs/>
      <w:noProof w:val="0"/>
    </w:rPr>
  </w:style>
  <w:style w:type="character" w:styleId="af7">
    <w:name w:val="Intense Emphasis"/>
    <w:basedOn w:val="a2"/>
    <w:uiPriority w:val="21"/>
    <w:qFormat/>
    <w:rsid w:val="00F00791"/>
    <w:rPr>
      <w:i/>
      <w:iCs/>
      <w:noProof w:val="0"/>
      <w:color w:val="4F81BD" w:themeColor="accent1"/>
    </w:rPr>
  </w:style>
  <w:style w:type="character" w:styleId="af8">
    <w:name w:val="Subtle Emphasis"/>
    <w:basedOn w:val="a2"/>
    <w:uiPriority w:val="19"/>
    <w:qFormat/>
    <w:rsid w:val="00F00791"/>
    <w:rPr>
      <w:i/>
      <w:iCs/>
      <w:noProof w:val="0"/>
      <w:color w:val="404040" w:themeColor="text1" w:themeTint="BF"/>
    </w:rPr>
  </w:style>
  <w:style w:type="paragraph" w:styleId="af9">
    <w:name w:val="List Continue"/>
    <w:basedOn w:val="a1"/>
    <w:semiHidden/>
    <w:unhideWhenUsed/>
    <w:rsid w:val="00F00791"/>
    <w:pPr>
      <w:spacing w:after="120"/>
      <w:ind w:left="283"/>
      <w:contextualSpacing/>
    </w:pPr>
  </w:style>
  <w:style w:type="paragraph" w:styleId="25">
    <w:name w:val="List Continue 2"/>
    <w:basedOn w:val="a1"/>
    <w:semiHidden/>
    <w:unhideWhenUsed/>
    <w:rsid w:val="00F00791"/>
    <w:pPr>
      <w:spacing w:after="120"/>
      <w:ind w:left="566"/>
      <w:contextualSpacing/>
    </w:pPr>
  </w:style>
  <w:style w:type="paragraph" w:styleId="35">
    <w:name w:val="List Continue 3"/>
    <w:basedOn w:val="a1"/>
    <w:semiHidden/>
    <w:unhideWhenUsed/>
    <w:rsid w:val="00F00791"/>
    <w:pPr>
      <w:spacing w:after="120"/>
      <w:ind w:left="849"/>
      <w:contextualSpacing/>
    </w:pPr>
  </w:style>
  <w:style w:type="paragraph" w:styleId="42">
    <w:name w:val="List Continue 4"/>
    <w:basedOn w:val="a1"/>
    <w:semiHidden/>
    <w:unhideWhenUsed/>
    <w:rsid w:val="00F00791"/>
    <w:pPr>
      <w:spacing w:after="120"/>
      <w:ind w:left="1132"/>
      <w:contextualSpacing/>
    </w:pPr>
  </w:style>
  <w:style w:type="paragraph" w:styleId="53">
    <w:name w:val="List Continue 5"/>
    <w:basedOn w:val="a1"/>
    <w:semiHidden/>
    <w:unhideWhenUsed/>
    <w:rsid w:val="00F00791"/>
    <w:pPr>
      <w:spacing w:after="120"/>
      <w:ind w:left="1415"/>
      <w:contextualSpacing/>
    </w:pPr>
  </w:style>
  <w:style w:type="character" w:styleId="afa">
    <w:name w:val="Intense Reference"/>
    <w:basedOn w:val="a2"/>
    <w:uiPriority w:val="32"/>
    <w:qFormat/>
    <w:rsid w:val="00F00791"/>
    <w:rPr>
      <w:b/>
      <w:bCs/>
      <w:smallCaps/>
      <w:noProof w:val="0"/>
      <w:color w:val="4F81BD" w:themeColor="accent1"/>
      <w:spacing w:val="5"/>
    </w:rPr>
  </w:style>
  <w:style w:type="character" w:styleId="afb">
    <w:name w:val="endnote reference"/>
    <w:basedOn w:val="a2"/>
    <w:semiHidden/>
    <w:unhideWhenUsed/>
    <w:rsid w:val="00F00791"/>
    <w:rPr>
      <w:noProof w:val="0"/>
      <w:vertAlign w:val="superscript"/>
    </w:rPr>
  </w:style>
  <w:style w:type="character" w:styleId="afc">
    <w:name w:val="footnote reference"/>
    <w:basedOn w:val="a2"/>
    <w:semiHidden/>
    <w:unhideWhenUsed/>
    <w:rsid w:val="00F00791"/>
    <w:rPr>
      <w:noProof w:val="0"/>
      <w:vertAlign w:val="superscript"/>
    </w:rPr>
  </w:style>
  <w:style w:type="character" w:styleId="afd">
    <w:name w:val="Subtle Reference"/>
    <w:basedOn w:val="a2"/>
    <w:uiPriority w:val="31"/>
    <w:qFormat/>
    <w:rsid w:val="00F00791"/>
    <w:rPr>
      <w:smallCaps/>
      <w:noProof w:val="0"/>
      <w:color w:val="5A5A5A" w:themeColor="text1" w:themeTint="A5"/>
    </w:rPr>
  </w:style>
  <w:style w:type="table" w:styleId="afe">
    <w:name w:val="Light Shading"/>
    <w:basedOn w:val="a3"/>
    <w:uiPriority w:val="60"/>
    <w:semiHidden/>
    <w:unhideWhenUsed/>
    <w:rsid w:val="00F0079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F0079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F007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F00791"/>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F00791"/>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F00791"/>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F00791"/>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F007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F0079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F0079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F0079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F0079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F0079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F0079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F0079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F007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F007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F007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F007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F007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F007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F0079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F0079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F0079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F0079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F0079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F0079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F0079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F00791"/>
    <w:rPr>
      <w:b/>
      <w:bCs/>
      <w:noProof w:val="0"/>
    </w:rPr>
  </w:style>
  <w:style w:type="paragraph" w:styleId="aff1">
    <w:name w:val="Signature"/>
    <w:basedOn w:val="a1"/>
    <w:link w:val="aff2"/>
    <w:semiHidden/>
    <w:unhideWhenUsed/>
    <w:rsid w:val="00F00791"/>
    <w:pPr>
      <w:ind w:left="4252"/>
    </w:pPr>
  </w:style>
  <w:style w:type="character" w:customStyle="1" w:styleId="aff2">
    <w:name w:val="חתימה תו"/>
    <w:basedOn w:val="a2"/>
    <w:link w:val="aff1"/>
    <w:semiHidden/>
    <w:rsid w:val="00F00791"/>
    <w:rPr>
      <w:rFonts w:cs="David"/>
      <w:noProof w:val="0"/>
      <w:sz w:val="24"/>
      <w:szCs w:val="24"/>
    </w:rPr>
  </w:style>
  <w:style w:type="paragraph" w:styleId="aff3">
    <w:name w:val="E-mail Signature"/>
    <w:basedOn w:val="a1"/>
    <w:link w:val="aff4"/>
    <w:semiHidden/>
    <w:unhideWhenUsed/>
    <w:rsid w:val="00F00791"/>
  </w:style>
  <w:style w:type="character" w:customStyle="1" w:styleId="aff4">
    <w:name w:val="חתימת דואר אלקטרוני תו"/>
    <w:basedOn w:val="a2"/>
    <w:link w:val="aff3"/>
    <w:semiHidden/>
    <w:rsid w:val="00F00791"/>
    <w:rPr>
      <w:rFonts w:cs="David"/>
      <w:noProof w:val="0"/>
      <w:sz w:val="24"/>
      <w:szCs w:val="24"/>
    </w:rPr>
  </w:style>
  <w:style w:type="table" w:styleId="aff5">
    <w:name w:val="Table Elegant"/>
    <w:basedOn w:val="a3"/>
    <w:semiHidden/>
    <w:unhideWhenUsed/>
    <w:rsid w:val="00F00791"/>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F0079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F00791"/>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F00791"/>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F00791"/>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F00791"/>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F00791"/>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F00791"/>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F00791"/>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F00791"/>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F00791"/>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F00791"/>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F00791"/>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F00791"/>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F00791"/>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F0079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F0079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F0079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F0079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F0079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F00791"/>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F00791"/>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F00791"/>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F0079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F00791"/>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F00791"/>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F00791"/>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F00791"/>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F00791"/>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F00791"/>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F0079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F00791"/>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F00791"/>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F00791"/>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F00791"/>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F00791"/>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F00791"/>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F0079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F00791"/>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F0079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F00791"/>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F00791"/>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F0079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F00791"/>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F0079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F0079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F0079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F0079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F0079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F0079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F0079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F0079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F00791"/>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F00791"/>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F00791"/>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F00791"/>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F00791"/>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F00791"/>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F0079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F00791"/>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F00791"/>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F00791"/>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F00791"/>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F00791"/>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F00791"/>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F0079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F00791"/>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F00791"/>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F00791"/>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F00791"/>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F00791"/>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F00791"/>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F0079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F0079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F00791"/>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F00791"/>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F00791"/>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F0079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F00791"/>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F0079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F0079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F00791"/>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F00791"/>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F00791"/>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F00791"/>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F00791"/>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F0079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F0079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F0079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F0079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F0079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F0079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F0079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F0079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F0079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F0079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F0079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F0079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F0079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F0079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F0079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F0079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F0079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F0079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F0079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F0079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F0079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F0079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F0079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F0079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F0079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F0079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F0079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F0079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F0079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F0079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F0079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F0079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F0079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F0079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F0079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F0079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F00791"/>
    <w:rPr>
      <w:sz w:val="20"/>
      <w:szCs w:val="20"/>
    </w:rPr>
  </w:style>
  <w:style w:type="character" w:customStyle="1" w:styleId="affa">
    <w:name w:val="טקסט הערת סיום תו"/>
    <w:basedOn w:val="a2"/>
    <w:link w:val="aff9"/>
    <w:semiHidden/>
    <w:rsid w:val="00F00791"/>
    <w:rPr>
      <w:rFonts w:cs="David"/>
      <w:noProof w:val="0"/>
    </w:rPr>
  </w:style>
  <w:style w:type="paragraph" w:styleId="affb">
    <w:name w:val="footnote text"/>
    <w:basedOn w:val="a1"/>
    <w:link w:val="affc"/>
    <w:semiHidden/>
    <w:unhideWhenUsed/>
    <w:rsid w:val="00F00791"/>
    <w:rPr>
      <w:sz w:val="20"/>
      <w:szCs w:val="20"/>
    </w:rPr>
  </w:style>
  <w:style w:type="character" w:customStyle="1" w:styleId="affc">
    <w:name w:val="טקסט הערת שוליים תו"/>
    <w:basedOn w:val="a2"/>
    <w:link w:val="affb"/>
    <w:semiHidden/>
    <w:rsid w:val="00F00791"/>
    <w:rPr>
      <w:rFonts w:cs="David"/>
      <w:noProof w:val="0"/>
    </w:rPr>
  </w:style>
  <w:style w:type="paragraph" w:styleId="affd">
    <w:name w:val="macro"/>
    <w:link w:val="affe"/>
    <w:semiHidden/>
    <w:unhideWhenUsed/>
    <w:rsid w:val="00F00791"/>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F00791"/>
    <w:rPr>
      <w:rFonts w:ascii="Consolas" w:hAnsi="Consolas" w:cs="David"/>
      <w:noProof w:val="0"/>
    </w:rPr>
  </w:style>
  <w:style w:type="paragraph" w:styleId="afff">
    <w:name w:val="Plain Text"/>
    <w:basedOn w:val="a1"/>
    <w:link w:val="afff0"/>
    <w:semiHidden/>
    <w:unhideWhenUsed/>
    <w:rsid w:val="00F00791"/>
    <w:rPr>
      <w:rFonts w:ascii="Consolas" w:hAnsi="Consolas"/>
      <w:sz w:val="21"/>
      <w:szCs w:val="21"/>
    </w:rPr>
  </w:style>
  <w:style w:type="character" w:customStyle="1" w:styleId="afff0">
    <w:name w:val="טקסט רגיל תו"/>
    <w:basedOn w:val="a2"/>
    <w:link w:val="afff"/>
    <w:semiHidden/>
    <w:rsid w:val="00F00791"/>
    <w:rPr>
      <w:rFonts w:ascii="Consolas" w:hAnsi="Consolas" w:cs="David"/>
      <w:noProof w:val="0"/>
      <w:sz w:val="21"/>
      <w:szCs w:val="21"/>
    </w:rPr>
  </w:style>
  <w:style w:type="character" w:styleId="afff1">
    <w:name w:val="Book Title"/>
    <w:basedOn w:val="a2"/>
    <w:uiPriority w:val="33"/>
    <w:qFormat/>
    <w:rsid w:val="00F00791"/>
    <w:rPr>
      <w:b/>
      <w:bCs/>
      <w:i/>
      <w:iCs/>
      <w:noProof w:val="0"/>
      <w:spacing w:val="5"/>
    </w:rPr>
  </w:style>
  <w:style w:type="character" w:customStyle="1" w:styleId="10">
    <w:name w:val="כותרת 1 תו"/>
    <w:basedOn w:val="a2"/>
    <w:link w:val="1"/>
    <w:rsid w:val="00F00791"/>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F00791"/>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F00791"/>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F00791"/>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F00791"/>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F00791"/>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F00791"/>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F00791"/>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F00791"/>
    <w:rPr>
      <w:rFonts w:asciiTheme="majorHAnsi" w:eastAsiaTheme="majorEastAsia" w:hAnsiTheme="majorHAnsi" w:cstheme="majorBidi"/>
      <w:b/>
      <w:bCs/>
    </w:rPr>
  </w:style>
  <w:style w:type="paragraph" w:styleId="afff3">
    <w:name w:val="Note Heading"/>
    <w:basedOn w:val="a1"/>
    <w:next w:val="a1"/>
    <w:link w:val="afff4"/>
    <w:semiHidden/>
    <w:unhideWhenUsed/>
    <w:rsid w:val="00F00791"/>
  </w:style>
  <w:style w:type="character" w:customStyle="1" w:styleId="afff4">
    <w:name w:val="כותרת הערות תו"/>
    <w:basedOn w:val="a2"/>
    <w:link w:val="afff3"/>
    <w:semiHidden/>
    <w:rsid w:val="00F00791"/>
    <w:rPr>
      <w:rFonts w:cs="David"/>
      <w:noProof w:val="0"/>
      <w:sz w:val="24"/>
      <w:szCs w:val="24"/>
    </w:rPr>
  </w:style>
  <w:style w:type="paragraph" w:styleId="afff5">
    <w:name w:val="Title"/>
    <w:basedOn w:val="a1"/>
    <w:next w:val="a1"/>
    <w:link w:val="afff6"/>
    <w:qFormat/>
    <w:rsid w:val="00F00791"/>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F00791"/>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F007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F00791"/>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F0079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F00791"/>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F00791"/>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F00791"/>
    <w:pPr>
      <w:outlineLvl w:val="9"/>
    </w:pPr>
  </w:style>
  <w:style w:type="paragraph" w:styleId="afffd">
    <w:name w:val="caption"/>
    <w:basedOn w:val="a1"/>
    <w:next w:val="a1"/>
    <w:semiHidden/>
    <w:unhideWhenUsed/>
    <w:qFormat/>
    <w:rsid w:val="00F00791"/>
    <w:pPr>
      <w:spacing w:after="200"/>
    </w:pPr>
    <w:rPr>
      <w:i/>
      <w:iCs/>
      <w:color w:val="1F497D" w:themeColor="text2"/>
      <w:sz w:val="18"/>
      <w:szCs w:val="18"/>
    </w:rPr>
  </w:style>
  <w:style w:type="paragraph" w:styleId="afffe">
    <w:name w:val="Body Text Indent"/>
    <w:basedOn w:val="a1"/>
    <w:link w:val="affff"/>
    <w:semiHidden/>
    <w:unhideWhenUsed/>
    <w:rsid w:val="00F00791"/>
    <w:pPr>
      <w:spacing w:after="120"/>
      <w:ind w:left="283"/>
    </w:pPr>
  </w:style>
  <w:style w:type="character" w:customStyle="1" w:styleId="affff">
    <w:name w:val="כניסה בגוף טקסט תו"/>
    <w:basedOn w:val="a2"/>
    <w:link w:val="afffe"/>
    <w:semiHidden/>
    <w:rsid w:val="00F00791"/>
    <w:rPr>
      <w:rFonts w:cs="David"/>
      <w:noProof w:val="0"/>
      <w:sz w:val="24"/>
      <w:szCs w:val="24"/>
    </w:rPr>
  </w:style>
  <w:style w:type="paragraph" w:styleId="2f">
    <w:name w:val="Body Text Indent 2"/>
    <w:basedOn w:val="a1"/>
    <w:link w:val="2f0"/>
    <w:semiHidden/>
    <w:unhideWhenUsed/>
    <w:rsid w:val="00F00791"/>
    <w:pPr>
      <w:spacing w:after="120" w:line="480" w:lineRule="auto"/>
      <w:ind w:left="283"/>
    </w:pPr>
  </w:style>
  <w:style w:type="character" w:customStyle="1" w:styleId="2f0">
    <w:name w:val="כניסה בגוף טקסט 2 תו"/>
    <w:basedOn w:val="a2"/>
    <w:link w:val="2f"/>
    <w:semiHidden/>
    <w:rsid w:val="00F00791"/>
    <w:rPr>
      <w:rFonts w:cs="David"/>
      <w:noProof w:val="0"/>
      <w:sz w:val="24"/>
      <w:szCs w:val="24"/>
    </w:rPr>
  </w:style>
  <w:style w:type="paragraph" w:styleId="3d">
    <w:name w:val="Body Text Indent 3"/>
    <w:basedOn w:val="a1"/>
    <w:link w:val="3e"/>
    <w:semiHidden/>
    <w:unhideWhenUsed/>
    <w:rsid w:val="00F00791"/>
    <w:pPr>
      <w:spacing w:after="120"/>
      <w:ind w:left="283"/>
    </w:pPr>
    <w:rPr>
      <w:sz w:val="16"/>
      <w:szCs w:val="16"/>
    </w:rPr>
  </w:style>
  <w:style w:type="character" w:customStyle="1" w:styleId="3e">
    <w:name w:val="כניסה בגוף טקסט 3 תו"/>
    <w:basedOn w:val="a2"/>
    <w:link w:val="3d"/>
    <w:semiHidden/>
    <w:rsid w:val="00F00791"/>
    <w:rPr>
      <w:rFonts w:cs="David"/>
      <w:noProof w:val="0"/>
      <w:sz w:val="16"/>
      <w:szCs w:val="16"/>
    </w:rPr>
  </w:style>
  <w:style w:type="paragraph" w:styleId="affff0">
    <w:name w:val="Normal Indent"/>
    <w:basedOn w:val="a1"/>
    <w:semiHidden/>
    <w:unhideWhenUsed/>
    <w:rsid w:val="00F00791"/>
    <w:pPr>
      <w:ind w:left="720"/>
    </w:pPr>
  </w:style>
  <w:style w:type="paragraph" w:styleId="affff1">
    <w:name w:val="Body Text First Indent"/>
    <w:basedOn w:val="af4"/>
    <w:link w:val="affff2"/>
    <w:rsid w:val="00F00791"/>
    <w:pPr>
      <w:spacing w:after="0"/>
      <w:ind w:firstLine="360"/>
    </w:pPr>
  </w:style>
  <w:style w:type="character" w:customStyle="1" w:styleId="affff2">
    <w:name w:val="כניסת שורה ראשונה בגוף טקסט תו"/>
    <w:basedOn w:val="af5"/>
    <w:link w:val="affff1"/>
    <w:rsid w:val="00F00791"/>
    <w:rPr>
      <w:rFonts w:cs="David"/>
      <w:noProof w:val="0"/>
      <w:sz w:val="24"/>
      <w:szCs w:val="24"/>
    </w:rPr>
  </w:style>
  <w:style w:type="paragraph" w:styleId="2f1">
    <w:name w:val="Body Text First Indent 2"/>
    <w:basedOn w:val="afffe"/>
    <w:link w:val="2f2"/>
    <w:semiHidden/>
    <w:unhideWhenUsed/>
    <w:rsid w:val="00F00791"/>
    <w:pPr>
      <w:spacing w:after="0"/>
      <w:ind w:left="360" w:firstLine="360"/>
    </w:pPr>
  </w:style>
  <w:style w:type="character" w:customStyle="1" w:styleId="2f2">
    <w:name w:val="כניסת שורה ראשונה בגוף טקסט 2 תו"/>
    <w:basedOn w:val="affff"/>
    <w:link w:val="2f1"/>
    <w:semiHidden/>
    <w:rsid w:val="00F00791"/>
    <w:rPr>
      <w:rFonts w:cs="David"/>
      <w:noProof w:val="0"/>
      <w:sz w:val="24"/>
      <w:szCs w:val="24"/>
    </w:rPr>
  </w:style>
  <w:style w:type="paragraph" w:styleId="HTML2">
    <w:name w:val="HTML Address"/>
    <w:basedOn w:val="a1"/>
    <w:link w:val="HTML3"/>
    <w:semiHidden/>
    <w:unhideWhenUsed/>
    <w:rsid w:val="00F00791"/>
    <w:rPr>
      <w:i/>
      <w:iCs/>
    </w:rPr>
  </w:style>
  <w:style w:type="character" w:customStyle="1" w:styleId="HTML3">
    <w:name w:val="כתובת HTML תו"/>
    <w:basedOn w:val="a2"/>
    <w:link w:val="HTML2"/>
    <w:semiHidden/>
    <w:rsid w:val="00F00791"/>
    <w:rPr>
      <w:rFonts w:cs="David"/>
      <w:i/>
      <w:iCs/>
      <w:noProof w:val="0"/>
      <w:sz w:val="24"/>
      <w:szCs w:val="24"/>
    </w:rPr>
  </w:style>
  <w:style w:type="paragraph" w:styleId="affff3">
    <w:name w:val="envelope address"/>
    <w:basedOn w:val="a1"/>
    <w:semiHidden/>
    <w:unhideWhenUsed/>
    <w:rsid w:val="00F00791"/>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F00791"/>
    <w:rPr>
      <w:rFonts w:asciiTheme="majorHAnsi" w:eastAsiaTheme="majorEastAsia" w:hAnsiTheme="majorHAnsi" w:cstheme="majorBidi"/>
      <w:sz w:val="20"/>
      <w:szCs w:val="20"/>
    </w:rPr>
  </w:style>
  <w:style w:type="paragraph" w:styleId="affff5">
    <w:name w:val="No Spacing"/>
    <w:uiPriority w:val="1"/>
    <w:qFormat/>
    <w:rsid w:val="00F00791"/>
    <w:pPr>
      <w:bidi/>
    </w:pPr>
    <w:rPr>
      <w:rFonts w:cs="David"/>
      <w:sz w:val="24"/>
      <w:szCs w:val="24"/>
    </w:rPr>
  </w:style>
  <w:style w:type="character" w:styleId="HTML4">
    <w:name w:val="HTML Typewriter"/>
    <w:basedOn w:val="a2"/>
    <w:semiHidden/>
    <w:unhideWhenUsed/>
    <w:rsid w:val="00F00791"/>
    <w:rPr>
      <w:rFonts w:ascii="Consolas" w:hAnsi="Consolas"/>
      <w:noProof w:val="0"/>
      <w:sz w:val="20"/>
      <w:szCs w:val="20"/>
    </w:rPr>
  </w:style>
  <w:style w:type="paragraph" w:styleId="affff6">
    <w:name w:val="Document Map"/>
    <w:basedOn w:val="a1"/>
    <w:link w:val="affff7"/>
    <w:semiHidden/>
    <w:unhideWhenUsed/>
    <w:rsid w:val="00F00791"/>
    <w:rPr>
      <w:rFonts w:ascii="Tahoma" w:hAnsi="Tahoma" w:cs="Tahoma"/>
      <w:sz w:val="16"/>
      <w:szCs w:val="16"/>
    </w:rPr>
  </w:style>
  <w:style w:type="character" w:customStyle="1" w:styleId="affff7">
    <w:name w:val="מפת מסמך תו"/>
    <w:basedOn w:val="a2"/>
    <w:link w:val="affff6"/>
    <w:semiHidden/>
    <w:rsid w:val="00F00791"/>
    <w:rPr>
      <w:rFonts w:ascii="Tahoma" w:hAnsi="Tahoma" w:cs="Tahoma"/>
      <w:noProof w:val="0"/>
      <w:sz w:val="16"/>
      <w:szCs w:val="16"/>
    </w:rPr>
  </w:style>
  <w:style w:type="character" w:styleId="HTML5">
    <w:name w:val="HTML Keyboard"/>
    <w:basedOn w:val="a2"/>
    <w:semiHidden/>
    <w:unhideWhenUsed/>
    <w:rsid w:val="00F00791"/>
    <w:rPr>
      <w:rFonts w:ascii="Consolas" w:hAnsi="Consolas"/>
      <w:noProof w:val="0"/>
      <w:sz w:val="20"/>
      <w:szCs w:val="20"/>
    </w:rPr>
  </w:style>
  <w:style w:type="paragraph" w:styleId="affff8">
    <w:name w:val="annotation subject"/>
    <w:basedOn w:val="a9"/>
    <w:next w:val="a9"/>
    <w:link w:val="affff9"/>
    <w:semiHidden/>
    <w:unhideWhenUsed/>
    <w:rsid w:val="00F00791"/>
    <w:rPr>
      <w:rFonts w:cs="David"/>
      <w:b/>
      <w:bCs/>
      <w:sz w:val="20"/>
      <w:szCs w:val="20"/>
    </w:rPr>
  </w:style>
  <w:style w:type="character" w:customStyle="1" w:styleId="aa">
    <w:name w:val="טקסט הערה תו"/>
    <w:basedOn w:val="a2"/>
    <w:link w:val="a9"/>
    <w:semiHidden/>
    <w:rsid w:val="00F00791"/>
    <w:rPr>
      <w:noProof w:val="0"/>
      <w:sz w:val="24"/>
      <w:szCs w:val="24"/>
    </w:rPr>
  </w:style>
  <w:style w:type="character" w:customStyle="1" w:styleId="affff9">
    <w:name w:val="נושא הערה תו"/>
    <w:basedOn w:val="aa"/>
    <w:link w:val="affff8"/>
    <w:semiHidden/>
    <w:rsid w:val="00F00791"/>
    <w:rPr>
      <w:rFonts w:cs="David"/>
      <w:b/>
      <w:bCs/>
      <w:noProof w:val="0"/>
      <w:sz w:val="24"/>
      <w:szCs w:val="24"/>
    </w:rPr>
  </w:style>
  <w:style w:type="table" w:styleId="affffa">
    <w:name w:val="Table Theme"/>
    <w:basedOn w:val="a3"/>
    <w:semiHidden/>
    <w:unhideWhenUsed/>
    <w:rsid w:val="00F0079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F00791"/>
    <w:pPr>
      <w:ind w:left="4252"/>
    </w:pPr>
  </w:style>
  <w:style w:type="character" w:customStyle="1" w:styleId="affffc">
    <w:name w:val="סיום תו"/>
    <w:basedOn w:val="a2"/>
    <w:link w:val="affffb"/>
    <w:semiHidden/>
    <w:rsid w:val="00F00791"/>
    <w:rPr>
      <w:rFonts w:cs="David"/>
      <w:noProof w:val="0"/>
      <w:sz w:val="24"/>
      <w:szCs w:val="24"/>
    </w:rPr>
  </w:style>
  <w:style w:type="table" w:styleId="1b">
    <w:name w:val="Table Columns 1"/>
    <w:basedOn w:val="a3"/>
    <w:semiHidden/>
    <w:unhideWhenUsed/>
    <w:rsid w:val="00F00791"/>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F00791"/>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F00791"/>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F00791"/>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F00791"/>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List Paragraph"/>
    <w:basedOn w:val="a1"/>
    <w:uiPriority w:val="34"/>
    <w:qFormat/>
    <w:rsid w:val="00F00791"/>
    <w:pPr>
      <w:ind w:left="720"/>
      <w:contextualSpacing/>
    </w:pPr>
  </w:style>
  <w:style w:type="paragraph" w:styleId="affffe">
    <w:name w:val="Quote"/>
    <w:basedOn w:val="a1"/>
    <w:next w:val="a1"/>
    <w:link w:val="afffff"/>
    <w:uiPriority w:val="29"/>
    <w:qFormat/>
    <w:rsid w:val="00F00791"/>
    <w:pPr>
      <w:spacing w:before="200" w:after="160"/>
      <w:ind w:left="864" w:right="864"/>
      <w:jc w:val="center"/>
    </w:pPr>
    <w:rPr>
      <w:i/>
      <w:iCs/>
      <w:color w:val="404040" w:themeColor="text1" w:themeTint="BF"/>
    </w:rPr>
  </w:style>
  <w:style w:type="character" w:customStyle="1" w:styleId="afffff">
    <w:name w:val="ציטוט תו"/>
    <w:basedOn w:val="a2"/>
    <w:link w:val="affffe"/>
    <w:uiPriority w:val="29"/>
    <w:rsid w:val="00F00791"/>
    <w:rPr>
      <w:rFonts w:cs="David"/>
      <w:i/>
      <w:iCs/>
      <w:noProof w:val="0"/>
      <w:color w:val="404040" w:themeColor="text1" w:themeTint="BF"/>
      <w:sz w:val="24"/>
      <w:szCs w:val="24"/>
    </w:rPr>
  </w:style>
  <w:style w:type="paragraph" w:styleId="afffff0">
    <w:name w:val="Intense Quote"/>
    <w:basedOn w:val="a1"/>
    <w:next w:val="a1"/>
    <w:link w:val="afffff1"/>
    <w:uiPriority w:val="30"/>
    <w:qFormat/>
    <w:rsid w:val="00F0079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1">
    <w:name w:val="ציטוט חזק תו"/>
    <w:basedOn w:val="a2"/>
    <w:link w:val="afffff0"/>
    <w:uiPriority w:val="30"/>
    <w:rsid w:val="00F00791"/>
    <w:rPr>
      <w:rFonts w:cs="David"/>
      <w:i/>
      <w:iCs/>
      <w:noProof w:val="0"/>
      <w:color w:val="4F81BD" w:themeColor="accent1"/>
      <w:sz w:val="24"/>
      <w:szCs w:val="24"/>
    </w:rPr>
  </w:style>
  <w:style w:type="character" w:styleId="HTML6">
    <w:name w:val="HTML Acronym"/>
    <w:basedOn w:val="a2"/>
    <w:semiHidden/>
    <w:unhideWhenUsed/>
    <w:rsid w:val="00F00791"/>
    <w:rPr>
      <w:noProof w:val="0"/>
    </w:rPr>
  </w:style>
  <w:style w:type="paragraph" w:styleId="afffff2">
    <w:name w:val="List"/>
    <w:basedOn w:val="a1"/>
    <w:semiHidden/>
    <w:unhideWhenUsed/>
    <w:rsid w:val="00F00791"/>
    <w:pPr>
      <w:ind w:left="283" w:hanging="283"/>
      <w:contextualSpacing/>
    </w:pPr>
  </w:style>
  <w:style w:type="paragraph" w:styleId="2f4">
    <w:name w:val="List 2"/>
    <w:basedOn w:val="a1"/>
    <w:semiHidden/>
    <w:unhideWhenUsed/>
    <w:rsid w:val="00F00791"/>
    <w:pPr>
      <w:ind w:left="566" w:hanging="283"/>
      <w:contextualSpacing/>
    </w:pPr>
  </w:style>
  <w:style w:type="paragraph" w:styleId="3f0">
    <w:name w:val="List 3"/>
    <w:basedOn w:val="a1"/>
    <w:semiHidden/>
    <w:unhideWhenUsed/>
    <w:rsid w:val="00F00791"/>
    <w:pPr>
      <w:ind w:left="849" w:hanging="283"/>
      <w:contextualSpacing/>
    </w:pPr>
  </w:style>
  <w:style w:type="paragraph" w:styleId="48">
    <w:name w:val="List 4"/>
    <w:basedOn w:val="a1"/>
    <w:rsid w:val="00F00791"/>
    <w:pPr>
      <w:ind w:left="1132" w:hanging="283"/>
      <w:contextualSpacing/>
    </w:pPr>
  </w:style>
  <w:style w:type="paragraph" w:styleId="58">
    <w:name w:val="List 5"/>
    <w:basedOn w:val="a1"/>
    <w:rsid w:val="00F00791"/>
    <w:pPr>
      <w:ind w:left="1415" w:hanging="283"/>
      <w:contextualSpacing/>
    </w:pPr>
  </w:style>
  <w:style w:type="table" w:styleId="afffff3">
    <w:name w:val="Light List"/>
    <w:basedOn w:val="a3"/>
    <w:uiPriority w:val="61"/>
    <w:semiHidden/>
    <w:unhideWhenUsed/>
    <w:rsid w:val="00F007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F00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F0079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F0079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F0079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F0079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F007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F00791"/>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F00791"/>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F00791"/>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F00791"/>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F00791"/>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F00791"/>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F00791"/>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F00791"/>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F0079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F0079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F00791"/>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F00791"/>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F00791"/>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F00791"/>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F00791"/>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4">
    <w:name w:val="Dark List"/>
    <w:basedOn w:val="a3"/>
    <w:uiPriority w:val="70"/>
    <w:semiHidden/>
    <w:unhideWhenUsed/>
    <w:rsid w:val="00F0079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F0079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F0079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F0079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F0079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F0079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F0079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F00791"/>
    <w:pPr>
      <w:numPr>
        <w:numId w:val="1"/>
      </w:numPr>
      <w:contextualSpacing/>
    </w:pPr>
  </w:style>
  <w:style w:type="paragraph" w:styleId="2">
    <w:name w:val="List Number 2"/>
    <w:basedOn w:val="a1"/>
    <w:semiHidden/>
    <w:unhideWhenUsed/>
    <w:rsid w:val="00F00791"/>
    <w:pPr>
      <w:numPr>
        <w:numId w:val="2"/>
      </w:numPr>
      <w:contextualSpacing/>
    </w:pPr>
  </w:style>
  <w:style w:type="paragraph" w:styleId="3">
    <w:name w:val="List Number 3"/>
    <w:basedOn w:val="a1"/>
    <w:semiHidden/>
    <w:unhideWhenUsed/>
    <w:rsid w:val="00F00791"/>
    <w:pPr>
      <w:numPr>
        <w:numId w:val="3"/>
      </w:numPr>
      <w:contextualSpacing/>
    </w:pPr>
  </w:style>
  <w:style w:type="paragraph" w:styleId="4">
    <w:name w:val="List Number 4"/>
    <w:basedOn w:val="a1"/>
    <w:semiHidden/>
    <w:unhideWhenUsed/>
    <w:rsid w:val="00F00791"/>
    <w:pPr>
      <w:numPr>
        <w:numId w:val="4"/>
      </w:numPr>
      <w:contextualSpacing/>
    </w:pPr>
  </w:style>
  <w:style w:type="paragraph" w:styleId="5">
    <w:name w:val="List Number 5"/>
    <w:basedOn w:val="a1"/>
    <w:semiHidden/>
    <w:unhideWhenUsed/>
    <w:rsid w:val="00F00791"/>
    <w:pPr>
      <w:numPr>
        <w:numId w:val="5"/>
      </w:numPr>
      <w:contextualSpacing/>
    </w:pPr>
  </w:style>
  <w:style w:type="paragraph" w:styleId="a0">
    <w:name w:val="List Bullet"/>
    <w:basedOn w:val="a1"/>
    <w:semiHidden/>
    <w:unhideWhenUsed/>
    <w:rsid w:val="00F00791"/>
    <w:pPr>
      <w:numPr>
        <w:numId w:val="6"/>
      </w:numPr>
      <w:contextualSpacing/>
    </w:pPr>
  </w:style>
  <w:style w:type="paragraph" w:styleId="20">
    <w:name w:val="List Bullet 2"/>
    <w:basedOn w:val="a1"/>
    <w:semiHidden/>
    <w:unhideWhenUsed/>
    <w:rsid w:val="00F00791"/>
    <w:pPr>
      <w:numPr>
        <w:numId w:val="7"/>
      </w:numPr>
      <w:contextualSpacing/>
    </w:pPr>
  </w:style>
  <w:style w:type="paragraph" w:styleId="30">
    <w:name w:val="List Bullet 3"/>
    <w:basedOn w:val="a1"/>
    <w:semiHidden/>
    <w:unhideWhenUsed/>
    <w:rsid w:val="00F00791"/>
    <w:pPr>
      <w:numPr>
        <w:numId w:val="8"/>
      </w:numPr>
      <w:contextualSpacing/>
    </w:pPr>
  </w:style>
  <w:style w:type="paragraph" w:styleId="40">
    <w:name w:val="List Bullet 4"/>
    <w:basedOn w:val="a1"/>
    <w:semiHidden/>
    <w:unhideWhenUsed/>
    <w:rsid w:val="00F00791"/>
    <w:pPr>
      <w:numPr>
        <w:numId w:val="9"/>
      </w:numPr>
      <w:contextualSpacing/>
    </w:pPr>
  </w:style>
  <w:style w:type="paragraph" w:styleId="50">
    <w:name w:val="List Bullet 5"/>
    <w:basedOn w:val="a1"/>
    <w:semiHidden/>
    <w:unhideWhenUsed/>
    <w:rsid w:val="00F00791"/>
    <w:pPr>
      <w:numPr>
        <w:numId w:val="10"/>
      </w:numPr>
      <w:contextualSpacing/>
    </w:pPr>
  </w:style>
  <w:style w:type="table" w:styleId="afffff5">
    <w:name w:val="Colorful List"/>
    <w:basedOn w:val="a3"/>
    <w:uiPriority w:val="72"/>
    <w:semiHidden/>
    <w:unhideWhenUsed/>
    <w:rsid w:val="00F0079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F0079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F0079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F0079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F0079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F0079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F0079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6">
    <w:name w:val="table of figures"/>
    <w:basedOn w:val="a1"/>
    <w:next w:val="a1"/>
    <w:semiHidden/>
    <w:unhideWhenUsed/>
    <w:rsid w:val="00F00791"/>
  </w:style>
  <w:style w:type="paragraph" w:styleId="afffff7">
    <w:name w:val="table of authorities"/>
    <w:basedOn w:val="a1"/>
    <w:next w:val="a1"/>
    <w:semiHidden/>
    <w:unhideWhenUsed/>
    <w:rsid w:val="00F00791"/>
    <w:pPr>
      <w:ind w:left="240" w:hanging="240"/>
    </w:pPr>
  </w:style>
  <w:style w:type="table" w:styleId="afffff8">
    <w:name w:val="Light Grid"/>
    <w:basedOn w:val="a3"/>
    <w:uiPriority w:val="62"/>
    <w:semiHidden/>
    <w:unhideWhenUsed/>
    <w:rsid w:val="00F007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F00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F0079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F0079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F0079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F0079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F007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F0079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F0079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F0079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F0079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F0079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F0079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F0079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F0079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F007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F007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F007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F007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F007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F007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F007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F0079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F00791"/>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F00791"/>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F00791"/>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F00791"/>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F00791"/>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F00791"/>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F00791"/>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9">
    <w:name w:val="Grid Table Light"/>
    <w:basedOn w:val="a3"/>
    <w:uiPriority w:val="40"/>
    <w:rsid w:val="00F0079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a">
    <w:name w:val="Colorful Grid"/>
    <w:basedOn w:val="a3"/>
    <w:uiPriority w:val="73"/>
    <w:semiHidden/>
    <w:unhideWhenUsed/>
    <w:rsid w:val="00F0079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F0079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F0079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F0079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F0079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F0079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F0079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b">
    <w:name w:val="Date"/>
    <w:basedOn w:val="a1"/>
    <w:next w:val="a1"/>
    <w:link w:val="afffffc"/>
    <w:rsid w:val="00F00791"/>
  </w:style>
  <w:style w:type="character" w:customStyle="1" w:styleId="afffffc">
    <w:name w:val="תאריך תו"/>
    <w:basedOn w:val="a2"/>
    <w:link w:val="afffffb"/>
    <w:rsid w:val="00F00791"/>
    <w:rPr>
      <w:rFonts w:cs="David"/>
      <w:noProof w:val="0"/>
      <w:sz w:val="24"/>
      <w:szCs w:val="24"/>
    </w:rPr>
  </w:style>
  <w:style w:type="character" w:customStyle="1" w:styleId="Ruller5">
    <w:name w:val="Ruller5 תו"/>
    <w:link w:val="Ruller50"/>
    <w:semiHidden/>
    <w:locked/>
    <w:rsid w:val="00EB2082"/>
    <w:rPr>
      <w:rFonts w:ascii="Arial TUR" w:hAnsi="Arial TUR" w:cs="FrankRuehl"/>
      <w:spacing w:val="10"/>
      <w:sz w:val="22"/>
      <w:szCs w:val="28"/>
    </w:rPr>
  </w:style>
  <w:style w:type="paragraph" w:customStyle="1" w:styleId="Ruller50">
    <w:name w:val="Ruller5"/>
    <w:basedOn w:val="a1"/>
    <w:link w:val="Ruller5"/>
    <w:semiHidden/>
    <w:rsid w:val="00EB2082"/>
    <w:pPr>
      <w:overflowPunct w:val="0"/>
      <w:autoSpaceDE w:val="0"/>
      <w:autoSpaceDN w:val="0"/>
      <w:adjustRightInd w:val="0"/>
      <w:ind w:left="1644" w:right="1276"/>
      <w:jc w:val="both"/>
    </w:pPr>
    <w:rPr>
      <w:rFonts w:ascii="Arial TUR" w:hAnsi="Arial TUR" w:cs="FrankRuehl"/>
      <w:spacing w:val="10"/>
      <w:sz w:val="22"/>
      <w:szCs w:val="28"/>
    </w:rPr>
  </w:style>
  <w:style w:type="character" w:customStyle="1" w:styleId="default">
    <w:name w:val="default"/>
    <w:rsid w:val="00EB2082"/>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354067">
      <w:bodyDiv w:val="1"/>
      <w:marLeft w:val="0"/>
      <w:marRight w:val="0"/>
      <w:marTop w:val="0"/>
      <w:marBottom w:val="0"/>
      <w:divBdr>
        <w:top w:val="none" w:sz="0" w:space="0" w:color="auto"/>
        <w:left w:val="none" w:sz="0" w:space="0" w:color="auto"/>
        <w:bottom w:val="none" w:sz="0" w:space="0" w:color="auto"/>
        <w:right w:val="none" w:sz="0" w:space="0" w:color="auto"/>
      </w:divBdr>
    </w:div>
    <w:div w:id="55011826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115195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7686540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styles" Target="styl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notes" Target="footnotes.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glossaryDocument" Target="glossary/document.xml"/><Relationship Id="rId5" Type="http://schemas.openxmlformats.org/officeDocument/2006/relationships/customXml" Target="../customXml/item4.xml"/><Relationship Id="rId15" Type="http://schemas.openxmlformats.org/officeDocument/2006/relationships/webSettings" Target="webSettings.xml"/><Relationship Id="rId23" Type="http://schemas.openxmlformats.org/officeDocument/2006/relationships/fontTable" Target="fontTable.xml"/><Relationship Id="rId10" Type="http://schemas.openxmlformats.org/officeDocument/2006/relationships/customXml" Target="../customXml/item9.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settings" Target="settings.xm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54DD7E843014C7D817D6B2B08E9B38B"/>
        <w:category>
          <w:name w:val="כללי"/>
          <w:gallery w:val="placeholder"/>
        </w:category>
        <w:types>
          <w:type w:val="bbPlcHdr"/>
        </w:types>
        <w:behaviors>
          <w:behavior w:val="content"/>
        </w:behaviors>
        <w:guid w:val="{0EF4802D-415F-48ED-875C-9C61EEC62D50}"/>
      </w:docPartPr>
      <w:docPartBody>
        <w:p w:rsidR="00480704" w:rsidRDefault="00D3591F" w:rsidP="00D3591F">
          <w:pPr>
            <w:pStyle w:val="254DD7E843014C7D817D6B2B08E9B38B2"/>
          </w:pPr>
          <w:r w:rsidRPr="00991FC5">
            <w:rPr>
              <w:rFonts w:ascii="Century" w:hAnsi="Century" w:cs="Miriam" w:hint="eastAsia"/>
              <w:b/>
              <w:noProof w:val="0"/>
              <w:sz w:val="22"/>
              <w:u w:val="single"/>
              <w:rtl/>
            </w:rPr>
            <w:t>מעמד</w:t>
          </w:r>
          <w:r w:rsidRPr="00991FC5">
            <w:rPr>
              <w:rFonts w:ascii="Century" w:hAnsi="Century" w:cs="Miriam"/>
              <w:b/>
              <w:noProof w:val="0"/>
              <w:sz w:val="22"/>
              <w:u w:val="single"/>
              <w:rtl/>
            </w:rPr>
            <w:t xml:space="preserve"> משתמש חותם </w:t>
          </w:r>
        </w:p>
      </w:docPartBody>
    </w:docPart>
    <w:docPart>
      <w:docPartPr>
        <w:name w:val="25B9EEA87DDA4445ABEC0596927959F3"/>
        <w:category>
          <w:name w:val="כללי"/>
          <w:gallery w:val="placeholder"/>
        </w:category>
        <w:types>
          <w:type w:val="bbPlcHdr"/>
        </w:types>
        <w:behaviors>
          <w:behavior w:val="content"/>
        </w:behaviors>
        <w:guid w:val="{EA49A985-0A79-4F52-A7CB-49F084FD7655}"/>
      </w:docPartPr>
      <w:docPartBody>
        <w:p w:rsidR="00480704" w:rsidRDefault="00D3591F" w:rsidP="00D3591F">
          <w:pPr>
            <w:pStyle w:val="25B9EEA87DDA4445ABEC0596927959F32"/>
          </w:pPr>
          <w:r w:rsidRPr="00991FC5">
            <w:rPr>
              <w:rFonts w:ascii="Century" w:hAnsi="Century" w:cs="Miriam"/>
              <w:b/>
              <w:noProof w:val="0"/>
              <w:sz w:val="22"/>
              <w:u w:val="single"/>
              <w:rtl/>
            </w:rPr>
            <w:t xml:space="preserve">שם משתמש חותם </w:t>
          </w:r>
        </w:p>
      </w:docPartBody>
    </w:docPart>
    <w:docPart>
      <w:docPartPr>
        <w:name w:val="3975A9BBC6384C90892C699CF234BDAB"/>
        <w:category>
          <w:name w:val="כללי"/>
          <w:gallery w:val="placeholder"/>
        </w:category>
        <w:types>
          <w:type w:val="bbPlcHdr"/>
        </w:types>
        <w:behaviors>
          <w:behavior w:val="content"/>
        </w:behaviors>
        <w:guid w:val="{A3438FC5-87BF-4224-8D7F-BFC02E7CD23F}"/>
      </w:docPartPr>
      <w:docPartBody>
        <w:p w:rsidR="00065DD0" w:rsidRDefault="00371DF4" w:rsidP="00371DF4">
          <w:pPr>
            <w:pStyle w:val="3975A9BBC6384C90892C699CF234BDAB"/>
          </w:pPr>
          <w:r>
            <w:rPr>
              <w:rFonts w:ascii="David" w:hAnsi="David"/>
              <w:sz w:val="28"/>
              <w:szCs w:val="28"/>
              <w:rtl/>
            </w:rPr>
            <w:t>שם צד א' ללא שם של חסוי</w:t>
          </w:r>
        </w:p>
      </w:docPartBody>
    </w:docPart>
    <w:docPart>
      <w:docPartPr>
        <w:name w:val="B1F3A140A16D4E139C7AFCFC1F5645A4"/>
        <w:category>
          <w:name w:val="כללי"/>
          <w:gallery w:val="placeholder"/>
        </w:category>
        <w:types>
          <w:type w:val="bbPlcHdr"/>
        </w:types>
        <w:behaviors>
          <w:behavior w:val="content"/>
        </w:behaviors>
        <w:guid w:val="{666C6E53-C4D3-40FD-90DE-9E4EDBE178E2}"/>
      </w:docPartPr>
      <w:docPartBody>
        <w:p w:rsidR="00065DD0" w:rsidRDefault="00371DF4" w:rsidP="00371DF4">
          <w:pPr>
            <w:pStyle w:val="B1F3A140A16D4E139C7AFCFC1F5645A4"/>
          </w:pPr>
          <w:r>
            <w:rPr>
              <w:rFonts w:ascii="David" w:hAnsi="David"/>
              <w:sz w:val="28"/>
              <w:szCs w:val="28"/>
              <w:rtl/>
            </w:rPr>
            <w:t>שם צד ב' ללא שם של חסוי</w:t>
          </w:r>
        </w:p>
      </w:docPartBody>
    </w:docPart>
    <w:docPart>
      <w:docPartPr>
        <w:name w:val="0AA37E1975D7475D9D35A98F4FF248FD"/>
        <w:category>
          <w:name w:val="כללי"/>
          <w:gallery w:val="placeholder"/>
        </w:category>
        <w:types>
          <w:type w:val="bbPlcHdr"/>
        </w:types>
        <w:behaviors>
          <w:behavior w:val="content"/>
        </w:behaviors>
        <w:guid w:val="{E991CB66-7697-4FFE-9C43-F8EA82A7F6E5}"/>
      </w:docPartPr>
      <w:docPartBody>
        <w:p w:rsidR="00065DD0" w:rsidRDefault="00371DF4" w:rsidP="00371DF4">
          <w:pPr>
            <w:pStyle w:val="0AA37E1975D7475D9D35A98F4FF248FD"/>
          </w:pPr>
          <w:r>
            <w:rPr>
              <w:rFonts w:ascii="David" w:hAnsi="David"/>
              <w:sz w:val="28"/>
              <w:szCs w:val="28"/>
              <w:rtl/>
            </w:rPr>
            <w:t>שם פרטי גורם מיוצג צד א</w:t>
          </w:r>
        </w:p>
      </w:docPartBody>
    </w:docPart>
    <w:docPart>
      <w:docPartPr>
        <w:name w:val="DDB2F2EA02934A36BEB3F6F225D1A82A"/>
        <w:category>
          <w:name w:val="כללי"/>
          <w:gallery w:val="placeholder"/>
        </w:category>
        <w:types>
          <w:type w:val="bbPlcHdr"/>
        </w:types>
        <w:behaviors>
          <w:behavior w:val="content"/>
        </w:behaviors>
        <w:guid w:val="{EE964A1E-6962-45C9-BBF7-3C0DEFA7059C}"/>
      </w:docPartPr>
      <w:docPartBody>
        <w:p w:rsidR="00065DD0" w:rsidRDefault="00371DF4" w:rsidP="00371DF4">
          <w:pPr>
            <w:pStyle w:val="DDB2F2EA02934A36BEB3F6F225D1A82A"/>
          </w:pPr>
          <w:r>
            <w:rPr>
              <w:rFonts w:ascii="David" w:hAnsi="David"/>
              <w:sz w:val="28"/>
              <w:szCs w:val="28"/>
              <w:rtl/>
            </w:rPr>
            <w:t>שם משפחה גורם מיצג צד א</w:t>
          </w:r>
        </w:p>
      </w:docPartBody>
    </w:docPart>
    <w:docPart>
      <w:docPartPr>
        <w:name w:val="AEE59DEAF63F44878BD40144596FECA7"/>
        <w:category>
          <w:name w:val="כללי"/>
          <w:gallery w:val="placeholder"/>
        </w:category>
        <w:types>
          <w:type w:val="bbPlcHdr"/>
        </w:types>
        <w:behaviors>
          <w:behavior w:val="content"/>
        </w:behaviors>
        <w:guid w:val="{3DB9A10B-FA39-4249-9398-1D268C9080CA}"/>
      </w:docPartPr>
      <w:docPartBody>
        <w:p w:rsidR="00065DD0" w:rsidRDefault="00371DF4" w:rsidP="00371DF4">
          <w:pPr>
            <w:pStyle w:val="AEE59DEAF63F44878BD40144596FECA7"/>
          </w:pPr>
          <w:r>
            <w:rPr>
              <w:rFonts w:ascii="David" w:hAnsi="David"/>
              <w:sz w:val="28"/>
              <w:szCs w:val="28"/>
              <w:rtl/>
            </w:rPr>
            <w:t>שם פרטי גורם מיוצג צד ב</w:t>
          </w:r>
        </w:p>
      </w:docPartBody>
    </w:docPart>
    <w:docPart>
      <w:docPartPr>
        <w:name w:val="06FFA198B1D745AEA3696909AFFAEA6D"/>
        <w:category>
          <w:name w:val="כללי"/>
          <w:gallery w:val="placeholder"/>
        </w:category>
        <w:types>
          <w:type w:val="bbPlcHdr"/>
        </w:types>
        <w:behaviors>
          <w:behavior w:val="content"/>
        </w:behaviors>
        <w:guid w:val="{116B2515-FB83-4938-8C8D-195CB9982CB0}"/>
      </w:docPartPr>
      <w:docPartBody>
        <w:p w:rsidR="00065DD0" w:rsidRDefault="00371DF4" w:rsidP="00371DF4">
          <w:pPr>
            <w:pStyle w:val="06FFA198B1D745AEA3696909AFFAEA6D"/>
          </w:pPr>
          <w:r>
            <w:rPr>
              <w:rFonts w:ascii="David" w:hAnsi="David"/>
              <w:sz w:val="28"/>
              <w:szCs w:val="28"/>
              <w:rtl/>
            </w:rPr>
            <w:t>שם משפחה גורם מיצג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65DD0"/>
    <w:rsid w:val="000740C1"/>
    <w:rsid w:val="000A4ACE"/>
    <w:rsid w:val="001A0763"/>
    <w:rsid w:val="001B4201"/>
    <w:rsid w:val="001D4C21"/>
    <w:rsid w:val="002B73B4"/>
    <w:rsid w:val="002D02C4"/>
    <w:rsid w:val="00345C9D"/>
    <w:rsid w:val="00371DF4"/>
    <w:rsid w:val="00480704"/>
    <w:rsid w:val="0048651F"/>
    <w:rsid w:val="004B017A"/>
    <w:rsid w:val="005157ED"/>
    <w:rsid w:val="00556D67"/>
    <w:rsid w:val="00673B50"/>
    <w:rsid w:val="006B434D"/>
    <w:rsid w:val="00793995"/>
    <w:rsid w:val="007B15EE"/>
    <w:rsid w:val="007C6F98"/>
    <w:rsid w:val="007E254A"/>
    <w:rsid w:val="007F7975"/>
    <w:rsid w:val="008B4366"/>
    <w:rsid w:val="009133C7"/>
    <w:rsid w:val="009178E4"/>
    <w:rsid w:val="00961B27"/>
    <w:rsid w:val="009A36E7"/>
    <w:rsid w:val="00A45670"/>
    <w:rsid w:val="00A509F1"/>
    <w:rsid w:val="00AA7CE3"/>
    <w:rsid w:val="00AF2FC3"/>
    <w:rsid w:val="00B50DB2"/>
    <w:rsid w:val="00B72BC2"/>
    <w:rsid w:val="00B91FA3"/>
    <w:rsid w:val="00BD69D1"/>
    <w:rsid w:val="00BE6557"/>
    <w:rsid w:val="00C0203B"/>
    <w:rsid w:val="00C96C06"/>
    <w:rsid w:val="00CF034F"/>
    <w:rsid w:val="00D24521"/>
    <w:rsid w:val="00D3591F"/>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D4C2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7">
    <w:name w:val="1C8A38705F7143EA87FF3DEB2C34E7E57"/>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7">
    <w:name w:val="4DC45A2FD697422FAA3CD896A84FA7B47"/>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6">
    <w:name w:val="610C6E051A88448494B3C30FBAD747736"/>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6">
    <w:name w:val="E94836ADA6264C72A55F651E19C4C7A66"/>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7">
    <w:name w:val="4672CCA166BA4F0A892EB1D7BA0002CB7"/>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5">
    <w:name w:val="D290653DA13E4E738B7E725F79D7332925"/>
    <w:rsid w:val="007B15EE"/>
    <w:pPr>
      <w:bidi/>
      <w:spacing w:after="0" w:line="240" w:lineRule="auto"/>
    </w:pPr>
    <w:rPr>
      <w:rFonts w:ascii="Times New Roman" w:eastAsia="Times New Roman" w:hAnsi="Times New Roman" w:cs="David"/>
      <w:noProof/>
      <w:sz w:val="24"/>
      <w:szCs w:val="24"/>
    </w:rPr>
  </w:style>
  <w:style w:type="paragraph" w:customStyle="1" w:styleId="EEF9532D13144E77A79C3A828A6D87D0">
    <w:name w:val="EEF9532D13144E77A79C3A828A6D87D0"/>
    <w:rsid w:val="007B15EE"/>
    <w:pPr>
      <w:bidi/>
      <w:spacing w:after="160" w:line="259" w:lineRule="auto"/>
    </w:pPr>
  </w:style>
  <w:style w:type="paragraph" w:customStyle="1" w:styleId="725CE01251224C238B17F8CECD050DF8">
    <w:name w:val="725CE01251224C238B17F8CECD050DF8"/>
    <w:rsid w:val="007B15EE"/>
    <w:pPr>
      <w:bidi/>
      <w:spacing w:after="160" w:line="259" w:lineRule="auto"/>
    </w:pPr>
  </w:style>
  <w:style w:type="paragraph" w:customStyle="1" w:styleId="A60901C1681A480D9204889C1048C9F2">
    <w:name w:val="A60901C1681A480D9204889C1048C9F2"/>
    <w:rsid w:val="007B15EE"/>
    <w:pPr>
      <w:bidi/>
      <w:spacing w:after="160" w:line="259" w:lineRule="auto"/>
    </w:pPr>
  </w:style>
  <w:style w:type="paragraph" w:customStyle="1" w:styleId="3045AC69E19A429ABFF6E85A43507D26">
    <w:name w:val="3045AC69E19A429ABFF6E85A43507D26"/>
    <w:rsid w:val="007B15EE"/>
    <w:pPr>
      <w:bidi/>
      <w:spacing w:after="160" w:line="259" w:lineRule="auto"/>
    </w:pPr>
  </w:style>
  <w:style w:type="paragraph" w:customStyle="1" w:styleId="A18D905AC87F4498AF0A2373F0022DF7">
    <w:name w:val="A18D905AC87F4498AF0A2373F0022DF7"/>
    <w:rsid w:val="007B15EE"/>
    <w:pPr>
      <w:bidi/>
      <w:spacing w:after="160" w:line="259" w:lineRule="auto"/>
    </w:pPr>
  </w:style>
  <w:style w:type="paragraph" w:customStyle="1" w:styleId="427E98481ED84766BC54F03DD09F0E2F">
    <w:name w:val="427E98481ED84766BC54F03DD09F0E2F"/>
    <w:rsid w:val="007B15EE"/>
    <w:pPr>
      <w:bidi/>
      <w:spacing w:after="160" w:line="259" w:lineRule="auto"/>
    </w:pPr>
  </w:style>
  <w:style w:type="paragraph" w:customStyle="1" w:styleId="D627387089644506A698AF342AA06782">
    <w:name w:val="D627387089644506A698AF342AA06782"/>
    <w:rsid w:val="007B15EE"/>
    <w:pPr>
      <w:bidi/>
      <w:spacing w:after="160" w:line="259" w:lineRule="auto"/>
    </w:pPr>
  </w:style>
  <w:style w:type="paragraph" w:customStyle="1" w:styleId="C5786A614630421EA2D7155983C5B63F">
    <w:name w:val="C5786A614630421EA2D7155983C5B63F"/>
    <w:rsid w:val="007B15EE"/>
    <w:pPr>
      <w:bidi/>
      <w:spacing w:after="160" w:line="259" w:lineRule="auto"/>
    </w:pPr>
  </w:style>
  <w:style w:type="paragraph" w:customStyle="1" w:styleId="69D8BFD2E0C349979A87924BDC386EFF">
    <w:name w:val="69D8BFD2E0C349979A87924BDC386EFF"/>
    <w:rsid w:val="007B15EE"/>
    <w:pPr>
      <w:bidi/>
      <w:spacing w:after="160" w:line="259" w:lineRule="auto"/>
    </w:pPr>
  </w:style>
  <w:style w:type="paragraph" w:customStyle="1" w:styleId="EEBB8B256B3A4FFF88BDB6D19E4476DC">
    <w:name w:val="EEBB8B256B3A4FFF88BDB6D19E4476DC"/>
    <w:rsid w:val="007B15EE"/>
    <w:pPr>
      <w:bidi/>
      <w:spacing w:after="160" w:line="259" w:lineRule="auto"/>
    </w:pPr>
  </w:style>
  <w:style w:type="paragraph" w:customStyle="1" w:styleId="1C8A38705F7143EA87FF3DEB2C34E7E58">
    <w:name w:val="1C8A38705F7143EA87FF3DEB2C34E7E58"/>
    <w:rsid w:val="001B4201"/>
    <w:pPr>
      <w:bidi/>
      <w:spacing w:after="0" w:line="240" w:lineRule="auto"/>
    </w:pPr>
    <w:rPr>
      <w:rFonts w:ascii="Times New Roman" w:eastAsia="Times New Roman" w:hAnsi="Times New Roman" w:cs="David"/>
      <w:noProof/>
      <w:sz w:val="24"/>
      <w:szCs w:val="24"/>
    </w:rPr>
  </w:style>
  <w:style w:type="paragraph" w:customStyle="1" w:styleId="4DC45A2FD697422FAA3CD896A84FA7B48">
    <w:name w:val="4DC45A2FD697422FAA3CD896A84FA7B48"/>
    <w:rsid w:val="001B4201"/>
    <w:pPr>
      <w:bidi/>
      <w:spacing w:after="0" w:line="240" w:lineRule="auto"/>
    </w:pPr>
    <w:rPr>
      <w:rFonts w:ascii="Times New Roman" w:eastAsia="Times New Roman" w:hAnsi="Times New Roman" w:cs="David"/>
      <w:noProof/>
      <w:sz w:val="24"/>
      <w:szCs w:val="24"/>
    </w:rPr>
  </w:style>
  <w:style w:type="paragraph" w:customStyle="1" w:styleId="57F8E24773DD469492F03DBB6854D520">
    <w:name w:val="57F8E24773DD469492F03DBB6854D520"/>
    <w:rsid w:val="001B4201"/>
    <w:pPr>
      <w:bidi/>
      <w:spacing w:after="0" w:line="240" w:lineRule="auto"/>
    </w:pPr>
    <w:rPr>
      <w:rFonts w:ascii="Times New Roman" w:eastAsia="Times New Roman" w:hAnsi="Times New Roman" w:cs="David"/>
      <w:noProof/>
      <w:sz w:val="24"/>
      <w:szCs w:val="24"/>
    </w:rPr>
  </w:style>
  <w:style w:type="paragraph" w:customStyle="1" w:styleId="226CD4C9E3E2414DB1EB2EF65834F737">
    <w:name w:val="226CD4C9E3E2414DB1EB2EF65834F737"/>
    <w:rsid w:val="001B4201"/>
    <w:pPr>
      <w:bidi/>
      <w:spacing w:after="0" w:line="240" w:lineRule="auto"/>
    </w:pPr>
    <w:rPr>
      <w:rFonts w:ascii="Times New Roman" w:eastAsia="Times New Roman" w:hAnsi="Times New Roman" w:cs="David"/>
      <w:noProof/>
      <w:sz w:val="24"/>
      <w:szCs w:val="24"/>
    </w:rPr>
  </w:style>
  <w:style w:type="paragraph" w:customStyle="1" w:styleId="07469710CC3040989E035211338398A2">
    <w:name w:val="07469710CC3040989E035211338398A2"/>
    <w:rsid w:val="001B4201"/>
    <w:pPr>
      <w:bidi/>
      <w:spacing w:after="0" w:line="240" w:lineRule="auto"/>
    </w:pPr>
    <w:rPr>
      <w:rFonts w:ascii="Times New Roman" w:eastAsia="Times New Roman" w:hAnsi="Times New Roman" w:cs="David"/>
      <w:noProof/>
      <w:sz w:val="24"/>
      <w:szCs w:val="24"/>
    </w:rPr>
  </w:style>
  <w:style w:type="paragraph" w:customStyle="1" w:styleId="C4F954AF035A4D36B8CEF04207E24CE6">
    <w:name w:val="C4F954AF035A4D36B8CEF04207E24CE6"/>
    <w:rsid w:val="001B4201"/>
    <w:pPr>
      <w:bidi/>
      <w:spacing w:after="0" w:line="240" w:lineRule="auto"/>
    </w:pPr>
    <w:rPr>
      <w:rFonts w:ascii="Times New Roman" w:eastAsia="Times New Roman" w:hAnsi="Times New Roman" w:cs="David"/>
      <w:noProof/>
      <w:sz w:val="24"/>
      <w:szCs w:val="24"/>
    </w:rPr>
  </w:style>
  <w:style w:type="paragraph" w:customStyle="1" w:styleId="610C6E051A88448494B3C30FBAD747737">
    <w:name w:val="610C6E051A88448494B3C30FBAD747737"/>
    <w:rsid w:val="001B4201"/>
    <w:pPr>
      <w:bidi/>
      <w:spacing w:after="0" w:line="240" w:lineRule="auto"/>
    </w:pPr>
    <w:rPr>
      <w:rFonts w:ascii="Times New Roman" w:eastAsia="Times New Roman" w:hAnsi="Times New Roman" w:cs="David"/>
      <w:noProof/>
      <w:sz w:val="24"/>
      <w:szCs w:val="24"/>
    </w:rPr>
  </w:style>
  <w:style w:type="paragraph" w:customStyle="1" w:styleId="E94836ADA6264C72A55F651E19C4C7A67">
    <w:name w:val="E94836ADA6264C72A55F651E19C4C7A67"/>
    <w:rsid w:val="001B4201"/>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1B4201"/>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1B4201"/>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1B4201"/>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1B4201"/>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1B4201"/>
    <w:pPr>
      <w:bidi/>
      <w:spacing w:after="0" w:line="240" w:lineRule="auto"/>
    </w:pPr>
    <w:rPr>
      <w:rFonts w:ascii="Times New Roman" w:eastAsia="Times New Roman" w:hAnsi="Times New Roman" w:cs="David"/>
      <w:noProof/>
      <w:sz w:val="24"/>
      <w:szCs w:val="24"/>
    </w:rPr>
  </w:style>
  <w:style w:type="paragraph" w:customStyle="1" w:styleId="4672CCA166BA4F0A892EB1D7BA0002CB8">
    <w:name w:val="4672CCA166BA4F0A892EB1D7BA0002CB8"/>
    <w:rsid w:val="001B4201"/>
    <w:pPr>
      <w:bidi/>
      <w:spacing w:after="0" w:line="240" w:lineRule="auto"/>
    </w:pPr>
    <w:rPr>
      <w:rFonts w:ascii="Times New Roman" w:eastAsia="Times New Roman" w:hAnsi="Times New Roman" w:cs="David"/>
      <w:noProof/>
      <w:sz w:val="24"/>
      <w:szCs w:val="24"/>
    </w:rPr>
  </w:style>
  <w:style w:type="paragraph" w:customStyle="1" w:styleId="D290653DA13E4E738B7E725F79D7332926">
    <w:name w:val="D290653DA13E4E738B7E725F79D7332926"/>
    <w:rsid w:val="001B4201"/>
    <w:pPr>
      <w:bidi/>
      <w:spacing w:after="0" w:line="240" w:lineRule="auto"/>
    </w:pPr>
    <w:rPr>
      <w:rFonts w:ascii="Times New Roman" w:eastAsia="Times New Roman" w:hAnsi="Times New Roman" w:cs="David"/>
      <w:noProof/>
      <w:sz w:val="24"/>
      <w:szCs w:val="24"/>
    </w:rPr>
  </w:style>
  <w:style w:type="paragraph" w:customStyle="1" w:styleId="1C8A38705F7143EA87FF3DEB2C34E7E59">
    <w:name w:val="1C8A38705F7143EA87FF3DEB2C34E7E59"/>
    <w:rsid w:val="00AF2FC3"/>
    <w:pPr>
      <w:bidi/>
      <w:spacing w:after="0" w:line="240" w:lineRule="auto"/>
    </w:pPr>
    <w:rPr>
      <w:rFonts w:ascii="Times New Roman" w:eastAsia="Times New Roman" w:hAnsi="Times New Roman" w:cs="David"/>
      <w:noProof/>
      <w:sz w:val="24"/>
      <w:szCs w:val="24"/>
    </w:rPr>
  </w:style>
  <w:style w:type="paragraph" w:customStyle="1" w:styleId="4DC45A2FD697422FAA3CD896A84FA7B49">
    <w:name w:val="4DC45A2FD697422FAA3CD896A84FA7B49"/>
    <w:rsid w:val="00AF2FC3"/>
    <w:pPr>
      <w:bidi/>
      <w:spacing w:after="0" w:line="240" w:lineRule="auto"/>
    </w:pPr>
    <w:rPr>
      <w:rFonts w:ascii="Times New Roman" w:eastAsia="Times New Roman" w:hAnsi="Times New Roman" w:cs="David"/>
      <w:noProof/>
      <w:sz w:val="24"/>
      <w:szCs w:val="24"/>
    </w:rPr>
  </w:style>
  <w:style w:type="paragraph" w:customStyle="1" w:styleId="57F8E24773DD469492F03DBB6854D5201">
    <w:name w:val="57F8E24773DD469492F03DBB6854D5201"/>
    <w:rsid w:val="00AF2FC3"/>
    <w:pPr>
      <w:bidi/>
      <w:spacing w:after="0" w:line="240" w:lineRule="auto"/>
    </w:pPr>
    <w:rPr>
      <w:rFonts w:ascii="Times New Roman" w:eastAsia="Times New Roman" w:hAnsi="Times New Roman" w:cs="David"/>
      <w:noProof/>
      <w:sz w:val="24"/>
      <w:szCs w:val="24"/>
    </w:rPr>
  </w:style>
  <w:style w:type="paragraph" w:customStyle="1" w:styleId="226CD4C9E3E2414DB1EB2EF65834F7371">
    <w:name w:val="226CD4C9E3E2414DB1EB2EF65834F7371"/>
    <w:rsid w:val="00AF2FC3"/>
    <w:pPr>
      <w:bidi/>
      <w:spacing w:after="0" w:line="240" w:lineRule="auto"/>
    </w:pPr>
    <w:rPr>
      <w:rFonts w:ascii="Times New Roman" w:eastAsia="Times New Roman" w:hAnsi="Times New Roman" w:cs="David"/>
      <w:noProof/>
      <w:sz w:val="24"/>
      <w:szCs w:val="24"/>
    </w:rPr>
  </w:style>
  <w:style w:type="paragraph" w:customStyle="1" w:styleId="07469710CC3040989E035211338398A21">
    <w:name w:val="07469710CC3040989E035211338398A21"/>
    <w:rsid w:val="00AF2FC3"/>
    <w:pPr>
      <w:bidi/>
      <w:spacing w:after="0" w:line="240" w:lineRule="auto"/>
    </w:pPr>
    <w:rPr>
      <w:rFonts w:ascii="Times New Roman" w:eastAsia="Times New Roman" w:hAnsi="Times New Roman" w:cs="David"/>
      <w:noProof/>
      <w:sz w:val="24"/>
      <w:szCs w:val="24"/>
    </w:rPr>
  </w:style>
  <w:style w:type="paragraph" w:customStyle="1" w:styleId="C4F954AF035A4D36B8CEF04207E24CE61">
    <w:name w:val="C4F954AF035A4D36B8CEF04207E24CE61"/>
    <w:rsid w:val="00AF2FC3"/>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AF2FC3"/>
    <w:pPr>
      <w:bidi/>
      <w:spacing w:after="0" w:line="240" w:lineRule="auto"/>
    </w:pPr>
    <w:rPr>
      <w:rFonts w:ascii="Times New Roman" w:eastAsia="Times New Roman" w:hAnsi="Times New Roman" w:cs="David"/>
      <w:noProof/>
      <w:sz w:val="24"/>
      <w:szCs w:val="24"/>
    </w:rPr>
  </w:style>
  <w:style w:type="paragraph" w:customStyle="1" w:styleId="4672CCA166BA4F0A892EB1D7BA0002CB9">
    <w:name w:val="4672CCA166BA4F0A892EB1D7BA0002CB9"/>
    <w:rsid w:val="00AF2FC3"/>
    <w:pPr>
      <w:bidi/>
      <w:spacing w:after="0" w:line="240" w:lineRule="auto"/>
    </w:pPr>
    <w:rPr>
      <w:rFonts w:ascii="Times New Roman" w:eastAsia="Times New Roman" w:hAnsi="Times New Roman" w:cs="David"/>
      <w:noProof/>
      <w:sz w:val="24"/>
      <w:szCs w:val="24"/>
    </w:rPr>
  </w:style>
  <w:style w:type="paragraph" w:customStyle="1" w:styleId="D290653DA13E4E738B7E725F79D7332927">
    <w:name w:val="D290653DA13E4E738B7E725F79D7332927"/>
    <w:rsid w:val="00AF2FC3"/>
    <w:pPr>
      <w:bidi/>
      <w:spacing w:after="0" w:line="240" w:lineRule="auto"/>
    </w:pPr>
    <w:rPr>
      <w:rFonts w:ascii="Times New Roman" w:eastAsia="Times New Roman" w:hAnsi="Times New Roman" w:cs="David"/>
      <w:noProof/>
      <w:sz w:val="24"/>
      <w:szCs w:val="24"/>
    </w:rPr>
  </w:style>
  <w:style w:type="paragraph" w:customStyle="1" w:styleId="1C8A38705F7143EA87FF3DEB2C34E7E510">
    <w:name w:val="1C8A38705F7143EA87FF3DEB2C34E7E510"/>
    <w:rsid w:val="006B434D"/>
    <w:pPr>
      <w:bidi/>
      <w:spacing w:after="0" w:line="240" w:lineRule="auto"/>
    </w:pPr>
    <w:rPr>
      <w:rFonts w:ascii="Times New Roman" w:eastAsia="Times New Roman" w:hAnsi="Times New Roman" w:cs="David"/>
      <w:noProof/>
      <w:sz w:val="24"/>
      <w:szCs w:val="24"/>
    </w:rPr>
  </w:style>
  <w:style w:type="paragraph" w:customStyle="1" w:styleId="4DC45A2FD697422FAA3CD896A84FA7B410">
    <w:name w:val="4DC45A2FD697422FAA3CD896A84FA7B410"/>
    <w:rsid w:val="006B434D"/>
    <w:pPr>
      <w:bidi/>
      <w:spacing w:after="0" w:line="240" w:lineRule="auto"/>
    </w:pPr>
    <w:rPr>
      <w:rFonts w:ascii="Times New Roman" w:eastAsia="Times New Roman" w:hAnsi="Times New Roman" w:cs="David"/>
      <w:noProof/>
      <w:sz w:val="24"/>
      <w:szCs w:val="24"/>
    </w:rPr>
  </w:style>
  <w:style w:type="paragraph" w:customStyle="1" w:styleId="57F8E24773DD469492F03DBB6854D5202">
    <w:name w:val="57F8E24773DD469492F03DBB6854D5202"/>
    <w:rsid w:val="006B434D"/>
    <w:pPr>
      <w:bidi/>
      <w:spacing w:after="0" w:line="240" w:lineRule="auto"/>
    </w:pPr>
    <w:rPr>
      <w:rFonts w:ascii="Times New Roman" w:eastAsia="Times New Roman" w:hAnsi="Times New Roman" w:cs="David"/>
      <w:noProof/>
      <w:sz w:val="24"/>
      <w:szCs w:val="24"/>
    </w:rPr>
  </w:style>
  <w:style w:type="paragraph" w:customStyle="1" w:styleId="226CD4C9E3E2414DB1EB2EF65834F7372">
    <w:name w:val="226CD4C9E3E2414DB1EB2EF65834F7372"/>
    <w:rsid w:val="006B434D"/>
    <w:pPr>
      <w:bidi/>
      <w:spacing w:after="0" w:line="240" w:lineRule="auto"/>
    </w:pPr>
    <w:rPr>
      <w:rFonts w:ascii="Times New Roman" w:eastAsia="Times New Roman" w:hAnsi="Times New Roman" w:cs="David"/>
      <w:noProof/>
      <w:sz w:val="24"/>
      <w:szCs w:val="24"/>
    </w:rPr>
  </w:style>
  <w:style w:type="paragraph" w:customStyle="1" w:styleId="07469710CC3040989E035211338398A22">
    <w:name w:val="07469710CC3040989E035211338398A22"/>
    <w:rsid w:val="006B434D"/>
    <w:pPr>
      <w:bidi/>
      <w:spacing w:after="0" w:line="240" w:lineRule="auto"/>
    </w:pPr>
    <w:rPr>
      <w:rFonts w:ascii="Times New Roman" w:eastAsia="Times New Roman" w:hAnsi="Times New Roman" w:cs="David"/>
      <w:noProof/>
      <w:sz w:val="24"/>
      <w:szCs w:val="24"/>
    </w:rPr>
  </w:style>
  <w:style w:type="paragraph" w:customStyle="1" w:styleId="C4F954AF035A4D36B8CEF04207E24CE62">
    <w:name w:val="C4F954AF035A4D36B8CEF04207E24CE62"/>
    <w:rsid w:val="006B434D"/>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6B434D"/>
    <w:pPr>
      <w:bidi/>
      <w:spacing w:after="0" w:line="240" w:lineRule="auto"/>
    </w:pPr>
    <w:rPr>
      <w:rFonts w:ascii="Times New Roman" w:eastAsia="Times New Roman" w:hAnsi="Times New Roman" w:cs="David"/>
      <w:noProof/>
      <w:sz w:val="24"/>
      <w:szCs w:val="24"/>
    </w:rPr>
  </w:style>
  <w:style w:type="paragraph" w:customStyle="1" w:styleId="4672CCA166BA4F0A892EB1D7BA0002CB10">
    <w:name w:val="4672CCA166BA4F0A892EB1D7BA0002CB10"/>
    <w:rsid w:val="006B434D"/>
    <w:pPr>
      <w:bidi/>
      <w:spacing w:after="0" w:line="240" w:lineRule="auto"/>
    </w:pPr>
    <w:rPr>
      <w:rFonts w:ascii="Times New Roman" w:eastAsia="Times New Roman" w:hAnsi="Times New Roman" w:cs="David"/>
      <w:noProof/>
      <w:sz w:val="24"/>
      <w:szCs w:val="24"/>
    </w:rPr>
  </w:style>
  <w:style w:type="paragraph" w:customStyle="1" w:styleId="D290653DA13E4E738B7E725F79D7332928">
    <w:name w:val="D290653DA13E4E738B7E725F79D7332928"/>
    <w:rsid w:val="006B434D"/>
    <w:pPr>
      <w:bidi/>
      <w:spacing w:after="0" w:line="240" w:lineRule="auto"/>
    </w:pPr>
    <w:rPr>
      <w:rFonts w:ascii="Times New Roman" w:eastAsia="Times New Roman" w:hAnsi="Times New Roman" w:cs="David"/>
      <w:noProof/>
      <w:sz w:val="24"/>
      <w:szCs w:val="24"/>
    </w:rPr>
  </w:style>
  <w:style w:type="paragraph" w:customStyle="1" w:styleId="E1D2A8202B47481781CF50A2A390094F">
    <w:name w:val="E1D2A8202B47481781CF50A2A390094F"/>
    <w:rsid w:val="00C0203B"/>
    <w:pPr>
      <w:bidi/>
      <w:spacing w:after="160" w:line="259" w:lineRule="auto"/>
    </w:pPr>
  </w:style>
  <w:style w:type="paragraph" w:customStyle="1" w:styleId="1C8A38705F7143EA87FF3DEB2C34E7E511">
    <w:name w:val="1C8A38705F7143EA87FF3DEB2C34E7E511"/>
    <w:rsid w:val="00C0203B"/>
    <w:pPr>
      <w:bidi/>
      <w:spacing w:after="0" w:line="240" w:lineRule="auto"/>
    </w:pPr>
    <w:rPr>
      <w:rFonts w:ascii="Times New Roman" w:eastAsia="Times New Roman" w:hAnsi="Times New Roman" w:cs="David"/>
      <w:noProof/>
      <w:sz w:val="24"/>
      <w:szCs w:val="24"/>
    </w:rPr>
  </w:style>
  <w:style w:type="paragraph" w:customStyle="1" w:styleId="4DC45A2FD697422FAA3CD896A84FA7B411">
    <w:name w:val="4DC45A2FD697422FAA3CD896A84FA7B411"/>
    <w:rsid w:val="00C0203B"/>
    <w:pPr>
      <w:bidi/>
      <w:spacing w:after="0" w:line="240" w:lineRule="auto"/>
    </w:pPr>
    <w:rPr>
      <w:rFonts w:ascii="Times New Roman" w:eastAsia="Times New Roman" w:hAnsi="Times New Roman" w:cs="David"/>
      <w:noProof/>
      <w:sz w:val="24"/>
      <w:szCs w:val="24"/>
    </w:rPr>
  </w:style>
  <w:style w:type="paragraph" w:customStyle="1" w:styleId="57F8E24773DD469492F03DBB6854D5203">
    <w:name w:val="57F8E24773DD469492F03DBB6854D5203"/>
    <w:rsid w:val="00C0203B"/>
    <w:pPr>
      <w:bidi/>
      <w:spacing w:after="0" w:line="240" w:lineRule="auto"/>
    </w:pPr>
    <w:rPr>
      <w:rFonts w:ascii="Times New Roman" w:eastAsia="Times New Roman" w:hAnsi="Times New Roman" w:cs="David"/>
      <w:noProof/>
      <w:sz w:val="24"/>
      <w:szCs w:val="24"/>
    </w:rPr>
  </w:style>
  <w:style w:type="paragraph" w:customStyle="1" w:styleId="226CD4C9E3E2414DB1EB2EF65834F7373">
    <w:name w:val="226CD4C9E3E2414DB1EB2EF65834F7373"/>
    <w:rsid w:val="00C0203B"/>
    <w:pPr>
      <w:bidi/>
      <w:spacing w:after="0" w:line="240" w:lineRule="auto"/>
    </w:pPr>
    <w:rPr>
      <w:rFonts w:ascii="Times New Roman" w:eastAsia="Times New Roman" w:hAnsi="Times New Roman" w:cs="David"/>
      <w:noProof/>
      <w:sz w:val="24"/>
      <w:szCs w:val="24"/>
    </w:rPr>
  </w:style>
  <w:style w:type="paragraph" w:customStyle="1" w:styleId="07469710CC3040989E035211338398A23">
    <w:name w:val="07469710CC3040989E035211338398A23"/>
    <w:rsid w:val="00C0203B"/>
    <w:pPr>
      <w:bidi/>
      <w:spacing w:after="0" w:line="240" w:lineRule="auto"/>
    </w:pPr>
    <w:rPr>
      <w:rFonts w:ascii="Times New Roman" w:eastAsia="Times New Roman" w:hAnsi="Times New Roman" w:cs="David"/>
      <w:noProof/>
      <w:sz w:val="24"/>
      <w:szCs w:val="24"/>
    </w:rPr>
  </w:style>
  <w:style w:type="paragraph" w:customStyle="1" w:styleId="C4F954AF035A4D36B8CEF04207E24CE63">
    <w:name w:val="C4F954AF035A4D36B8CEF04207E24CE63"/>
    <w:rsid w:val="00C0203B"/>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C0203B"/>
    <w:pPr>
      <w:bidi/>
      <w:spacing w:after="0" w:line="240" w:lineRule="auto"/>
    </w:pPr>
    <w:rPr>
      <w:rFonts w:ascii="Times New Roman" w:eastAsia="Times New Roman" w:hAnsi="Times New Roman" w:cs="David"/>
      <w:noProof/>
      <w:sz w:val="24"/>
      <w:szCs w:val="24"/>
    </w:rPr>
  </w:style>
  <w:style w:type="paragraph" w:customStyle="1" w:styleId="1C8A38705F7143EA87FF3DEB2C34E7E512">
    <w:name w:val="1C8A38705F7143EA87FF3DEB2C34E7E512"/>
    <w:rsid w:val="002B73B4"/>
    <w:pPr>
      <w:bidi/>
      <w:spacing w:after="0" w:line="240" w:lineRule="auto"/>
    </w:pPr>
    <w:rPr>
      <w:rFonts w:ascii="Times New Roman" w:eastAsia="Times New Roman" w:hAnsi="Times New Roman" w:cs="David"/>
      <w:noProof/>
      <w:sz w:val="24"/>
      <w:szCs w:val="24"/>
    </w:rPr>
  </w:style>
  <w:style w:type="paragraph" w:customStyle="1" w:styleId="4DC45A2FD697422FAA3CD896A84FA7B412">
    <w:name w:val="4DC45A2FD697422FAA3CD896A84FA7B412"/>
    <w:rsid w:val="002B73B4"/>
    <w:pPr>
      <w:bidi/>
      <w:spacing w:after="0" w:line="240" w:lineRule="auto"/>
    </w:pPr>
    <w:rPr>
      <w:rFonts w:ascii="Times New Roman" w:eastAsia="Times New Roman" w:hAnsi="Times New Roman" w:cs="David"/>
      <w:noProof/>
      <w:sz w:val="24"/>
      <w:szCs w:val="24"/>
    </w:rPr>
  </w:style>
  <w:style w:type="paragraph" w:customStyle="1" w:styleId="57F8E24773DD469492F03DBB6854D5204">
    <w:name w:val="57F8E24773DD469492F03DBB6854D5204"/>
    <w:rsid w:val="002B73B4"/>
    <w:pPr>
      <w:bidi/>
      <w:spacing w:after="0" w:line="240" w:lineRule="auto"/>
    </w:pPr>
    <w:rPr>
      <w:rFonts w:ascii="Times New Roman" w:eastAsia="Times New Roman" w:hAnsi="Times New Roman" w:cs="David"/>
      <w:noProof/>
      <w:sz w:val="24"/>
      <w:szCs w:val="24"/>
    </w:rPr>
  </w:style>
  <w:style w:type="paragraph" w:customStyle="1" w:styleId="226CD4C9E3E2414DB1EB2EF65834F7374">
    <w:name w:val="226CD4C9E3E2414DB1EB2EF65834F7374"/>
    <w:rsid w:val="002B73B4"/>
    <w:pPr>
      <w:bidi/>
      <w:spacing w:after="0" w:line="240" w:lineRule="auto"/>
    </w:pPr>
    <w:rPr>
      <w:rFonts w:ascii="Times New Roman" w:eastAsia="Times New Roman" w:hAnsi="Times New Roman" w:cs="David"/>
      <w:noProof/>
      <w:sz w:val="24"/>
      <w:szCs w:val="24"/>
    </w:rPr>
  </w:style>
  <w:style w:type="paragraph" w:customStyle="1" w:styleId="07469710CC3040989E035211338398A24">
    <w:name w:val="07469710CC3040989E035211338398A24"/>
    <w:rsid w:val="002B73B4"/>
    <w:pPr>
      <w:bidi/>
      <w:spacing w:after="0" w:line="240" w:lineRule="auto"/>
    </w:pPr>
    <w:rPr>
      <w:rFonts w:ascii="Times New Roman" w:eastAsia="Times New Roman" w:hAnsi="Times New Roman" w:cs="David"/>
      <w:noProof/>
      <w:sz w:val="24"/>
      <w:szCs w:val="24"/>
    </w:rPr>
  </w:style>
  <w:style w:type="paragraph" w:customStyle="1" w:styleId="C4F954AF035A4D36B8CEF04207E24CE64">
    <w:name w:val="C4F954AF035A4D36B8CEF04207E24CE64"/>
    <w:rsid w:val="002B73B4"/>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2B73B4"/>
    <w:pPr>
      <w:bidi/>
      <w:spacing w:after="0" w:line="240" w:lineRule="auto"/>
    </w:pPr>
    <w:rPr>
      <w:rFonts w:ascii="Times New Roman" w:eastAsia="Times New Roman" w:hAnsi="Times New Roman" w:cs="David"/>
      <w:noProof/>
      <w:sz w:val="24"/>
      <w:szCs w:val="24"/>
    </w:rPr>
  </w:style>
  <w:style w:type="paragraph" w:customStyle="1" w:styleId="1C8A38705F7143EA87FF3DEB2C34E7E513">
    <w:name w:val="1C8A38705F7143EA87FF3DEB2C34E7E513"/>
    <w:rsid w:val="00A509F1"/>
    <w:pPr>
      <w:bidi/>
      <w:spacing w:after="0" w:line="240" w:lineRule="auto"/>
    </w:pPr>
    <w:rPr>
      <w:rFonts w:ascii="Times New Roman" w:eastAsia="Times New Roman" w:hAnsi="Times New Roman" w:cs="David"/>
      <w:noProof/>
      <w:sz w:val="24"/>
      <w:szCs w:val="24"/>
    </w:rPr>
  </w:style>
  <w:style w:type="paragraph" w:customStyle="1" w:styleId="4DC45A2FD697422FAA3CD896A84FA7B413">
    <w:name w:val="4DC45A2FD697422FAA3CD896A84FA7B413"/>
    <w:rsid w:val="00A509F1"/>
    <w:pPr>
      <w:bidi/>
      <w:spacing w:after="0" w:line="240" w:lineRule="auto"/>
    </w:pPr>
    <w:rPr>
      <w:rFonts w:ascii="Times New Roman" w:eastAsia="Times New Roman" w:hAnsi="Times New Roman" w:cs="David"/>
      <w:noProof/>
      <w:sz w:val="24"/>
      <w:szCs w:val="24"/>
    </w:rPr>
  </w:style>
  <w:style w:type="paragraph" w:customStyle="1" w:styleId="57F8E24773DD469492F03DBB6854D5205">
    <w:name w:val="57F8E24773DD469492F03DBB6854D5205"/>
    <w:rsid w:val="00A509F1"/>
    <w:pPr>
      <w:bidi/>
      <w:spacing w:after="0" w:line="240" w:lineRule="auto"/>
    </w:pPr>
    <w:rPr>
      <w:rFonts w:ascii="Times New Roman" w:eastAsia="Times New Roman" w:hAnsi="Times New Roman" w:cs="David"/>
      <w:noProof/>
      <w:sz w:val="24"/>
      <w:szCs w:val="24"/>
    </w:rPr>
  </w:style>
  <w:style w:type="paragraph" w:customStyle="1" w:styleId="226CD4C9E3E2414DB1EB2EF65834F7375">
    <w:name w:val="226CD4C9E3E2414DB1EB2EF65834F7375"/>
    <w:rsid w:val="00A509F1"/>
    <w:pPr>
      <w:bidi/>
      <w:spacing w:after="0" w:line="240" w:lineRule="auto"/>
    </w:pPr>
    <w:rPr>
      <w:rFonts w:ascii="Times New Roman" w:eastAsia="Times New Roman" w:hAnsi="Times New Roman" w:cs="David"/>
      <w:noProof/>
      <w:sz w:val="24"/>
      <w:szCs w:val="24"/>
    </w:rPr>
  </w:style>
  <w:style w:type="paragraph" w:customStyle="1" w:styleId="07469710CC3040989E035211338398A25">
    <w:name w:val="07469710CC3040989E035211338398A25"/>
    <w:rsid w:val="00A509F1"/>
    <w:pPr>
      <w:bidi/>
      <w:spacing w:after="0" w:line="240" w:lineRule="auto"/>
    </w:pPr>
    <w:rPr>
      <w:rFonts w:ascii="Times New Roman" w:eastAsia="Times New Roman" w:hAnsi="Times New Roman" w:cs="David"/>
      <w:noProof/>
      <w:sz w:val="24"/>
      <w:szCs w:val="24"/>
    </w:rPr>
  </w:style>
  <w:style w:type="paragraph" w:customStyle="1" w:styleId="C4F954AF035A4D36B8CEF04207E24CE65">
    <w:name w:val="C4F954AF035A4D36B8CEF04207E24CE65"/>
    <w:rsid w:val="00A509F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A509F1"/>
    <w:pPr>
      <w:bidi/>
      <w:spacing w:after="0" w:line="240" w:lineRule="auto"/>
    </w:pPr>
    <w:rPr>
      <w:rFonts w:ascii="Times New Roman" w:eastAsia="Times New Roman" w:hAnsi="Times New Roman" w:cs="David"/>
      <w:noProof/>
      <w:sz w:val="24"/>
      <w:szCs w:val="24"/>
    </w:rPr>
  </w:style>
  <w:style w:type="paragraph" w:customStyle="1" w:styleId="1C8A38705F7143EA87FF3DEB2C34E7E514">
    <w:name w:val="1C8A38705F7143EA87FF3DEB2C34E7E514"/>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4">
    <w:name w:val="4DC45A2FD697422FAA3CD896A84FA7B414"/>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6">
    <w:name w:val="57F8E24773DD469492F03DBB6854D5206"/>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6">
    <w:name w:val="226CD4C9E3E2414DB1EB2EF65834F7376"/>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6">
    <w:name w:val="07469710CC3040989E035211338398A26"/>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6">
    <w:name w:val="C4F954AF035A4D36B8CEF04207E24CE66"/>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39">
    <w:name w:val="E460D38E05664FF79D4EFF282EF8EC9939"/>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5">
    <w:name w:val="1C8A38705F7143EA87FF3DEB2C34E7E515"/>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5">
    <w:name w:val="4DC45A2FD697422FAA3CD896A84FA7B415"/>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7">
    <w:name w:val="57F8E24773DD469492F03DBB6854D5207"/>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7">
    <w:name w:val="226CD4C9E3E2414DB1EB2EF65834F7377"/>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7">
    <w:name w:val="07469710CC3040989E035211338398A27"/>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7">
    <w:name w:val="C4F954AF035A4D36B8CEF04207E24CE67"/>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40">
    <w:name w:val="E460D38E05664FF79D4EFF282EF8EC9940"/>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6">
    <w:name w:val="1C8A38705F7143EA87FF3DEB2C34E7E516"/>
    <w:rsid w:val="000740C1"/>
    <w:pPr>
      <w:bidi/>
      <w:spacing w:after="0" w:line="240" w:lineRule="auto"/>
    </w:pPr>
    <w:rPr>
      <w:rFonts w:ascii="Times New Roman" w:eastAsia="Times New Roman" w:hAnsi="Times New Roman" w:cs="David"/>
      <w:noProof/>
      <w:sz w:val="24"/>
      <w:szCs w:val="24"/>
    </w:rPr>
  </w:style>
  <w:style w:type="paragraph" w:customStyle="1" w:styleId="4DC45A2FD697422FAA3CD896A84FA7B416">
    <w:name w:val="4DC45A2FD697422FAA3CD896A84FA7B416"/>
    <w:rsid w:val="000740C1"/>
    <w:pPr>
      <w:bidi/>
      <w:spacing w:after="0" w:line="240" w:lineRule="auto"/>
    </w:pPr>
    <w:rPr>
      <w:rFonts w:ascii="Times New Roman" w:eastAsia="Times New Roman" w:hAnsi="Times New Roman" w:cs="David"/>
      <w:noProof/>
      <w:sz w:val="24"/>
      <w:szCs w:val="24"/>
    </w:rPr>
  </w:style>
  <w:style w:type="paragraph" w:customStyle="1" w:styleId="57F8E24773DD469492F03DBB6854D5208">
    <w:name w:val="57F8E24773DD469492F03DBB6854D5208"/>
    <w:rsid w:val="000740C1"/>
    <w:pPr>
      <w:bidi/>
      <w:spacing w:after="0" w:line="240" w:lineRule="auto"/>
    </w:pPr>
    <w:rPr>
      <w:rFonts w:ascii="Times New Roman" w:eastAsia="Times New Roman" w:hAnsi="Times New Roman" w:cs="David"/>
      <w:noProof/>
      <w:sz w:val="24"/>
      <w:szCs w:val="24"/>
    </w:rPr>
  </w:style>
  <w:style w:type="paragraph" w:customStyle="1" w:styleId="226CD4C9E3E2414DB1EB2EF65834F7378">
    <w:name w:val="226CD4C9E3E2414DB1EB2EF65834F7378"/>
    <w:rsid w:val="000740C1"/>
    <w:pPr>
      <w:bidi/>
      <w:spacing w:after="0" w:line="240" w:lineRule="auto"/>
    </w:pPr>
    <w:rPr>
      <w:rFonts w:ascii="Times New Roman" w:eastAsia="Times New Roman" w:hAnsi="Times New Roman" w:cs="David"/>
      <w:noProof/>
      <w:sz w:val="24"/>
      <w:szCs w:val="24"/>
    </w:rPr>
  </w:style>
  <w:style w:type="paragraph" w:customStyle="1" w:styleId="07469710CC3040989E035211338398A28">
    <w:name w:val="07469710CC3040989E035211338398A28"/>
    <w:rsid w:val="000740C1"/>
    <w:pPr>
      <w:bidi/>
      <w:spacing w:after="0" w:line="240" w:lineRule="auto"/>
    </w:pPr>
    <w:rPr>
      <w:rFonts w:ascii="Times New Roman" w:eastAsia="Times New Roman" w:hAnsi="Times New Roman" w:cs="David"/>
      <w:noProof/>
      <w:sz w:val="24"/>
      <w:szCs w:val="24"/>
    </w:rPr>
  </w:style>
  <w:style w:type="paragraph" w:customStyle="1" w:styleId="C4F954AF035A4D36B8CEF04207E24CE68">
    <w:name w:val="C4F954AF035A4D36B8CEF04207E24CE68"/>
    <w:rsid w:val="000740C1"/>
    <w:pPr>
      <w:bidi/>
      <w:spacing w:after="0" w:line="240" w:lineRule="auto"/>
    </w:pPr>
    <w:rPr>
      <w:rFonts w:ascii="Times New Roman" w:eastAsia="Times New Roman" w:hAnsi="Times New Roman" w:cs="David"/>
      <w:noProof/>
      <w:sz w:val="24"/>
      <w:szCs w:val="24"/>
    </w:rPr>
  </w:style>
  <w:style w:type="paragraph" w:customStyle="1" w:styleId="E460D38E05664FF79D4EFF282EF8EC9941">
    <w:name w:val="E460D38E05664FF79D4EFF282EF8EC9941"/>
    <w:rsid w:val="000740C1"/>
    <w:pPr>
      <w:bidi/>
      <w:spacing w:after="0" w:line="240" w:lineRule="auto"/>
    </w:pPr>
    <w:rPr>
      <w:rFonts w:ascii="Times New Roman" w:eastAsia="Times New Roman" w:hAnsi="Times New Roman" w:cs="David"/>
      <w:noProof/>
      <w:sz w:val="24"/>
      <w:szCs w:val="24"/>
    </w:rPr>
  </w:style>
  <w:style w:type="paragraph" w:customStyle="1" w:styleId="C0E099B8FE484C24923A2291A000E80E">
    <w:name w:val="C0E099B8FE484C24923A2291A000E80E"/>
    <w:rsid w:val="007F7975"/>
    <w:pPr>
      <w:bidi/>
      <w:spacing w:after="160" w:line="259" w:lineRule="auto"/>
    </w:pPr>
  </w:style>
  <w:style w:type="paragraph" w:customStyle="1" w:styleId="1C8A38705F7143EA87FF3DEB2C34E7E517">
    <w:name w:val="1C8A38705F7143EA87FF3DEB2C34E7E517"/>
    <w:rsid w:val="007F7975"/>
    <w:pPr>
      <w:bidi/>
      <w:spacing w:after="0" w:line="240" w:lineRule="auto"/>
    </w:pPr>
    <w:rPr>
      <w:rFonts w:ascii="Times New Roman" w:eastAsia="Times New Roman" w:hAnsi="Times New Roman" w:cs="David"/>
      <w:noProof/>
      <w:sz w:val="24"/>
      <w:szCs w:val="24"/>
    </w:rPr>
  </w:style>
  <w:style w:type="paragraph" w:customStyle="1" w:styleId="4DC45A2FD697422FAA3CD896A84FA7B417">
    <w:name w:val="4DC45A2FD697422FAA3CD896A84FA7B417"/>
    <w:rsid w:val="007F7975"/>
    <w:pPr>
      <w:bidi/>
      <w:spacing w:after="0" w:line="240" w:lineRule="auto"/>
    </w:pPr>
    <w:rPr>
      <w:rFonts w:ascii="Times New Roman" w:eastAsia="Times New Roman" w:hAnsi="Times New Roman" w:cs="David"/>
      <w:noProof/>
      <w:sz w:val="24"/>
      <w:szCs w:val="24"/>
    </w:rPr>
  </w:style>
  <w:style w:type="paragraph" w:customStyle="1" w:styleId="57F8E24773DD469492F03DBB6854D5209">
    <w:name w:val="57F8E24773DD469492F03DBB6854D5209"/>
    <w:rsid w:val="007F7975"/>
    <w:pPr>
      <w:bidi/>
      <w:spacing w:after="0" w:line="240" w:lineRule="auto"/>
    </w:pPr>
    <w:rPr>
      <w:rFonts w:ascii="Times New Roman" w:eastAsia="Times New Roman" w:hAnsi="Times New Roman" w:cs="David"/>
      <w:noProof/>
      <w:sz w:val="24"/>
      <w:szCs w:val="24"/>
    </w:rPr>
  </w:style>
  <w:style w:type="paragraph" w:customStyle="1" w:styleId="226CD4C9E3E2414DB1EB2EF65834F7379">
    <w:name w:val="226CD4C9E3E2414DB1EB2EF65834F7379"/>
    <w:rsid w:val="007F7975"/>
    <w:pPr>
      <w:bidi/>
      <w:spacing w:after="0" w:line="240" w:lineRule="auto"/>
    </w:pPr>
    <w:rPr>
      <w:rFonts w:ascii="Times New Roman" w:eastAsia="Times New Roman" w:hAnsi="Times New Roman" w:cs="David"/>
      <w:noProof/>
      <w:sz w:val="24"/>
      <w:szCs w:val="24"/>
    </w:rPr>
  </w:style>
  <w:style w:type="paragraph" w:customStyle="1" w:styleId="07469710CC3040989E035211338398A29">
    <w:name w:val="07469710CC3040989E035211338398A29"/>
    <w:rsid w:val="007F7975"/>
    <w:pPr>
      <w:bidi/>
      <w:spacing w:after="0" w:line="240" w:lineRule="auto"/>
    </w:pPr>
    <w:rPr>
      <w:rFonts w:ascii="Times New Roman" w:eastAsia="Times New Roman" w:hAnsi="Times New Roman" w:cs="David"/>
      <w:noProof/>
      <w:sz w:val="24"/>
      <w:szCs w:val="24"/>
    </w:rPr>
  </w:style>
  <w:style w:type="paragraph" w:customStyle="1" w:styleId="C4F954AF035A4D36B8CEF04207E24CE69">
    <w:name w:val="C4F954AF035A4D36B8CEF04207E24CE69"/>
    <w:rsid w:val="007F7975"/>
    <w:pPr>
      <w:bidi/>
      <w:spacing w:after="0" w:line="240" w:lineRule="auto"/>
    </w:pPr>
    <w:rPr>
      <w:rFonts w:ascii="Times New Roman" w:eastAsia="Times New Roman" w:hAnsi="Times New Roman" w:cs="David"/>
      <w:noProof/>
      <w:sz w:val="24"/>
      <w:szCs w:val="24"/>
    </w:rPr>
  </w:style>
  <w:style w:type="paragraph" w:customStyle="1" w:styleId="C0E099B8FE484C24923A2291A000E80E1">
    <w:name w:val="C0E099B8FE484C24923A2291A000E80E1"/>
    <w:rsid w:val="007F7975"/>
    <w:pPr>
      <w:bidi/>
      <w:spacing w:after="0" w:line="240" w:lineRule="auto"/>
    </w:pPr>
    <w:rPr>
      <w:rFonts w:ascii="Times New Roman" w:eastAsia="Times New Roman" w:hAnsi="Times New Roman" w:cs="David"/>
      <w:noProof/>
      <w:sz w:val="24"/>
      <w:szCs w:val="24"/>
    </w:rPr>
  </w:style>
  <w:style w:type="paragraph" w:customStyle="1" w:styleId="1C8A38705F7143EA87FF3DEB2C34E7E518">
    <w:name w:val="1C8A38705F7143EA87FF3DEB2C34E7E518"/>
    <w:rsid w:val="00A45670"/>
    <w:pPr>
      <w:bidi/>
      <w:spacing w:after="0" w:line="240" w:lineRule="auto"/>
    </w:pPr>
    <w:rPr>
      <w:rFonts w:ascii="Times New Roman" w:eastAsia="Times New Roman" w:hAnsi="Times New Roman" w:cs="David"/>
      <w:noProof/>
      <w:sz w:val="24"/>
      <w:szCs w:val="24"/>
    </w:rPr>
  </w:style>
  <w:style w:type="paragraph" w:customStyle="1" w:styleId="4DC45A2FD697422FAA3CD896A84FA7B418">
    <w:name w:val="4DC45A2FD697422FAA3CD896A84FA7B418"/>
    <w:rsid w:val="00A45670"/>
    <w:pPr>
      <w:bidi/>
      <w:spacing w:after="0" w:line="240" w:lineRule="auto"/>
    </w:pPr>
    <w:rPr>
      <w:rFonts w:ascii="Times New Roman" w:eastAsia="Times New Roman" w:hAnsi="Times New Roman" w:cs="David"/>
      <w:noProof/>
      <w:sz w:val="24"/>
      <w:szCs w:val="24"/>
    </w:rPr>
  </w:style>
  <w:style w:type="paragraph" w:customStyle="1" w:styleId="57F8E24773DD469492F03DBB6854D52010">
    <w:name w:val="57F8E24773DD469492F03DBB6854D52010"/>
    <w:rsid w:val="00A45670"/>
    <w:pPr>
      <w:bidi/>
      <w:spacing w:after="0" w:line="240" w:lineRule="auto"/>
    </w:pPr>
    <w:rPr>
      <w:rFonts w:ascii="Times New Roman" w:eastAsia="Times New Roman" w:hAnsi="Times New Roman" w:cs="David"/>
      <w:noProof/>
      <w:sz w:val="24"/>
      <w:szCs w:val="24"/>
    </w:rPr>
  </w:style>
  <w:style w:type="paragraph" w:customStyle="1" w:styleId="226CD4C9E3E2414DB1EB2EF65834F73710">
    <w:name w:val="226CD4C9E3E2414DB1EB2EF65834F73710"/>
    <w:rsid w:val="00A45670"/>
    <w:pPr>
      <w:bidi/>
      <w:spacing w:after="0" w:line="240" w:lineRule="auto"/>
    </w:pPr>
    <w:rPr>
      <w:rFonts w:ascii="Times New Roman" w:eastAsia="Times New Roman" w:hAnsi="Times New Roman" w:cs="David"/>
      <w:noProof/>
      <w:sz w:val="24"/>
      <w:szCs w:val="24"/>
    </w:rPr>
  </w:style>
  <w:style w:type="paragraph" w:customStyle="1" w:styleId="07469710CC3040989E035211338398A210">
    <w:name w:val="07469710CC3040989E035211338398A210"/>
    <w:rsid w:val="00A45670"/>
    <w:pPr>
      <w:bidi/>
      <w:spacing w:after="0" w:line="240" w:lineRule="auto"/>
    </w:pPr>
    <w:rPr>
      <w:rFonts w:ascii="Times New Roman" w:eastAsia="Times New Roman" w:hAnsi="Times New Roman" w:cs="David"/>
      <w:noProof/>
      <w:sz w:val="24"/>
      <w:szCs w:val="24"/>
    </w:rPr>
  </w:style>
  <w:style w:type="paragraph" w:customStyle="1" w:styleId="C4F954AF035A4D36B8CEF04207E24CE610">
    <w:name w:val="C4F954AF035A4D36B8CEF04207E24CE610"/>
    <w:rsid w:val="00A45670"/>
    <w:pPr>
      <w:bidi/>
      <w:spacing w:after="0" w:line="240" w:lineRule="auto"/>
    </w:pPr>
    <w:rPr>
      <w:rFonts w:ascii="Times New Roman" w:eastAsia="Times New Roman" w:hAnsi="Times New Roman" w:cs="David"/>
      <w:noProof/>
      <w:sz w:val="24"/>
      <w:szCs w:val="24"/>
    </w:rPr>
  </w:style>
  <w:style w:type="paragraph" w:customStyle="1" w:styleId="C0E099B8FE484C24923A2291A000E80E2">
    <w:name w:val="C0E099B8FE484C24923A2291A000E80E2"/>
    <w:rsid w:val="00A45670"/>
    <w:pPr>
      <w:bidi/>
      <w:spacing w:after="0" w:line="240" w:lineRule="auto"/>
    </w:pPr>
    <w:rPr>
      <w:rFonts w:ascii="Times New Roman" w:eastAsia="Times New Roman" w:hAnsi="Times New Roman" w:cs="David"/>
      <w:noProof/>
      <w:sz w:val="24"/>
      <w:szCs w:val="24"/>
    </w:rPr>
  </w:style>
  <w:style w:type="paragraph" w:customStyle="1" w:styleId="1C8A38705F7143EA87FF3DEB2C34E7E519">
    <w:name w:val="1C8A38705F7143EA87FF3DEB2C34E7E519"/>
    <w:rsid w:val="00480704"/>
    <w:pPr>
      <w:bidi/>
      <w:spacing w:after="0" w:line="240" w:lineRule="auto"/>
    </w:pPr>
    <w:rPr>
      <w:rFonts w:ascii="Times New Roman" w:eastAsia="Times New Roman" w:hAnsi="Times New Roman" w:cs="David"/>
      <w:noProof/>
      <w:sz w:val="24"/>
      <w:szCs w:val="24"/>
    </w:rPr>
  </w:style>
  <w:style w:type="paragraph" w:customStyle="1" w:styleId="4DC45A2FD697422FAA3CD896A84FA7B419">
    <w:name w:val="4DC45A2FD697422FAA3CD896A84FA7B419"/>
    <w:rsid w:val="00480704"/>
    <w:pPr>
      <w:bidi/>
      <w:spacing w:after="0" w:line="240" w:lineRule="auto"/>
    </w:pPr>
    <w:rPr>
      <w:rFonts w:ascii="Times New Roman" w:eastAsia="Times New Roman" w:hAnsi="Times New Roman" w:cs="David"/>
      <w:noProof/>
      <w:sz w:val="24"/>
      <w:szCs w:val="24"/>
    </w:rPr>
  </w:style>
  <w:style w:type="paragraph" w:customStyle="1" w:styleId="57F8E24773DD469492F03DBB6854D52011">
    <w:name w:val="57F8E24773DD469492F03DBB6854D52011"/>
    <w:rsid w:val="00480704"/>
    <w:pPr>
      <w:bidi/>
      <w:spacing w:after="0" w:line="240" w:lineRule="auto"/>
    </w:pPr>
    <w:rPr>
      <w:rFonts w:ascii="Times New Roman" w:eastAsia="Times New Roman" w:hAnsi="Times New Roman" w:cs="David"/>
      <w:noProof/>
      <w:sz w:val="24"/>
      <w:szCs w:val="24"/>
    </w:rPr>
  </w:style>
  <w:style w:type="paragraph" w:customStyle="1" w:styleId="226CD4C9E3E2414DB1EB2EF65834F73711">
    <w:name w:val="226CD4C9E3E2414DB1EB2EF65834F73711"/>
    <w:rsid w:val="00480704"/>
    <w:pPr>
      <w:bidi/>
      <w:spacing w:after="0" w:line="240" w:lineRule="auto"/>
    </w:pPr>
    <w:rPr>
      <w:rFonts w:ascii="Times New Roman" w:eastAsia="Times New Roman" w:hAnsi="Times New Roman" w:cs="David"/>
      <w:noProof/>
      <w:sz w:val="24"/>
      <w:szCs w:val="24"/>
    </w:rPr>
  </w:style>
  <w:style w:type="paragraph" w:customStyle="1" w:styleId="07469710CC3040989E035211338398A211">
    <w:name w:val="07469710CC3040989E035211338398A211"/>
    <w:rsid w:val="00480704"/>
    <w:pPr>
      <w:bidi/>
      <w:spacing w:after="0" w:line="240" w:lineRule="auto"/>
    </w:pPr>
    <w:rPr>
      <w:rFonts w:ascii="Times New Roman" w:eastAsia="Times New Roman" w:hAnsi="Times New Roman" w:cs="David"/>
      <w:noProof/>
      <w:sz w:val="24"/>
      <w:szCs w:val="24"/>
    </w:rPr>
  </w:style>
  <w:style w:type="paragraph" w:customStyle="1" w:styleId="C4F954AF035A4D36B8CEF04207E24CE611">
    <w:name w:val="C4F954AF035A4D36B8CEF04207E24CE611"/>
    <w:rsid w:val="00480704"/>
    <w:pPr>
      <w:bidi/>
      <w:spacing w:after="0" w:line="240" w:lineRule="auto"/>
    </w:pPr>
    <w:rPr>
      <w:rFonts w:ascii="Times New Roman" w:eastAsia="Times New Roman" w:hAnsi="Times New Roman" w:cs="David"/>
      <w:noProof/>
      <w:sz w:val="24"/>
      <w:szCs w:val="24"/>
    </w:rPr>
  </w:style>
  <w:style w:type="paragraph" w:customStyle="1" w:styleId="254DD7E843014C7D817D6B2B08E9B38B">
    <w:name w:val="254DD7E843014C7D817D6B2B08E9B38B"/>
    <w:rsid w:val="00480704"/>
    <w:pPr>
      <w:bidi/>
      <w:spacing w:after="0" w:line="240" w:lineRule="auto"/>
    </w:pPr>
    <w:rPr>
      <w:rFonts w:ascii="Times New Roman" w:eastAsia="Times New Roman" w:hAnsi="Times New Roman" w:cs="David"/>
      <w:noProof/>
      <w:sz w:val="24"/>
      <w:szCs w:val="24"/>
    </w:rPr>
  </w:style>
  <w:style w:type="paragraph" w:customStyle="1" w:styleId="25B9EEA87DDA4445ABEC0596927959F3">
    <w:name w:val="25B9EEA87DDA4445ABEC0596927959F3"/>
    <w:rsid w:val="00480704"/>
    <w:pPr>
      <w:bidi/>
      <w:spacing w:after="0" w:line="240" w:lineRule="auto"/>
    </w:pPr>
    <w:rPr>
      <w:rFonts w:ascii="Times New Roman" w:eastAsia="Times New Roman" w:hAnsi="Times New Roman" w:cs="David"/>
      <w:noProof/>
      <w:sz w:val="24"/>
      <w:szCs w:val="24"/>
    </w:rPr>
  </w:style>
  <w:style w:type="paragraph" w:customStyle="1" w:styleId="1C8A38705F7143EA87FF3DEB2C34E7E520">
    <w:name w:val="1C8A38705F7143EA87FF3DEB2C34E7E520"/>
    <w:rsid w:val="00480704"/>
    <w:pPr>
      <w:bidi/>
      <w:spacing w:after="0" w:line="240" w:lineRule="auto"/>
    </w:pPr>
    <w:rPr>
      <w:rFonts w:ascii="Times New Roman" w:eastAsia="Times New Roman" w:hAnsi="Times New Roman" w:cs="David"/>
      <w:noProof/>
      <w:sz w:val="24"/>
      <w:szCs w:val="24"/>
    </w:rPr>
  </w:style>
  <w:style w:type="paragraph" w:customStyle="1" w:styleId="4DC45A2FD697422FAA3CD896A84FA7B420">
    <w:name w:val="4DC45A2FD697422FAA3CD896A84FA7B420"/>
    <w:rsid w:val="00480704"/>
    <w:pPr>
      <w:bidi/>
      <w:spacing w:after="0" w:line="240" w:lineRule="auto"/>
    </w:pPr>
    <w:rPr>
      <w:rFonts w:ascii="Times New Roman" w:eastAsia="Times New Roman" w:hAnsi="Times New Roman" w:cs="David"/>
      <w:noProof/>
      <w:sz w:val="24"/>
      <w:szCs w:val="24"/>
    </w:rPr>
  </w:style>
  <w:style w:type="paragraph" w:customStyle="1" w:styleId="57F8E24773DD469492F03DBB6854D52012">
    <w:name w:val="57F8E24773DD469492F03DBB6854D52012"/>
    <w:rsid w:val="00480704"/>
    <w:pPr>
      <w:bidi/>
      <w:spacing w:after="0" w:line="240" w:lineRule="auto"/>
    </w:pPr>
    <w:rPr>
      <w:rFonts w:ascii="Times New Roman" w:eastAsia="Times New Roman" w:hAnsi="Times New Roman" w:cs="David"/>
      <w:noProof/>
      <w:sz w:val="24"/>
      <w:szCs w:val="24"/>
    </w:rPr>
  </w:style>
  <w:style w:type="paragraph" w:customStyle="1" w:styleId="226CD4C9E3E2414DB1EB2EF65834F73712">
    <w:name w:val="226CD4C9E3E2414DB1EB2EF65834F73712"/>
    <w:rsid w:val="00480704"/>
    <w:pPr>
      <w:bidi/>
      <w:spacing w:after="0" w:line="240" w:lineRule="auto"/>
    </w:pPr>
    <w:rPr>
      <w:rFonts w:ascii="Times New Roman" w:eastAsia="Times New Roman" w:hAnsi="Times New Roman" w:cs="David"/>
      <w:noProof/>
      <w:sz w:val="24"/>
      <w:szCs w:val="24"/>
    </w:rPr>
  </w:style>
  <w:style w:type="paragraph" w:customStyle="1" w:styleId="07469710CC3040989E035211338398A212">
    <w:name w:val="07469710CC3040989E035211338398A212"/>
    <w:rsid w:val="00480704"/>
    <w:pPr>
      <w:bidi/>
      <w:spacing w:after="0" w:line="240" w:lineRule="auto"/>
    </w:pPr>
    <w:rPr>
      <w:rFonts w:ascii="Times New Roman" w:eastAsia="Times New Roman" w:hAnsi="Times New Roman" w:cs="David"/>
      <w:noProof/>
      <w:sz w:val="24"/>
      <w:szCs w:val="24"/>
    </w:rPr>
  </w:style>
  <w:style w:type="paragraph" w:customStyle="1" w:styleId="C4F954AF035A4D36B8CEF04207E24CE612">
    <w:name w:val="C4F954AF035A4D36B8CEF04207E24CE612"/>
    <w:rsid w:val="00480704"/>
    <w:pPr>
      <w:bidi/>
      <w:spacing w:after="0" w:line="240" w:lineRule="auto"/>
    </w:pPr>
    <w:rPr>
      <w:rFonts w:ascii="Times New Roman" w:eastAsia="Times New Roman" w:hAnsi="Times New Roman" w:cs="David"/>
      <w:noProof/>
      <w:sz w:val="24"/>
      <w:szCs w:val="24"/>
    </w:rPr>
  </w:style>
  <w:style w:type="paragraph" w:customStyle="1" w:styleId="254DD7E843014C7D817D6B2B08E9B38B1">
    <w:name w:val="254DD7E843014C7D817D6B2B08E9B38B1"/>
    <w:rsid w:val="00480704"/>
    <w:pPr>
      <w:bidi/>
      <w:spacing w:after="0" w:line="240" w:lineRule="auto"/>
    </w:pPr>
    <w:rPr>
      <w:rFonts w:ascii="Times New Roman" w:eastAsia="Times New Roman" w:hAnsi="Times New Roman" w:cs="David"/>
      <w:noProof/>
      <w:sz w:val="24"/>
      <w:szCs w:val="24"/>
    </w:rPr>
  </w:style>
  <w:style w:type="paragraph" w:customStyle="1" w:styleId="25B9EEA87DDA4445ABEC0596927959F31">
    <w:name w:val="25B9EEA87DDA4445ABEC0596927959F31"/>
    <w:rsid w:val="00480704"/>
    <w:pPr>
      <w:bidi/>
      <w:spacing w:after="0" w:line="240" w:lineRule="auto"/>
    </w:pPr>
    <w:rPr>
      <w:rFonts w:ascii="Times New Roman" w:eastAsia="Times New Roman" w:hAnsi="Times New Roman" w:cs="David"/>
      <w:noProof/>
      <w:sz w:val="24"/>
      <w:szCs w:val="24"/>
    </w:rPr>
  </w:style>
  <w:style w:type="paragraph" w:customStyle="1" w:styleId="1C8A38705F7143EA87FF3DEB2C34E7E521">
    <w:name w:val="1C8A38705F7143EA87FF3DEB2C34E7E521"/>
    <w:rsid w:val="00D3591F"/>
    <w:pPr>
      <w:bidi/>
      <w:spacing w:after="0" w:line="240" w:lineRule="auto"/>
    </w:pPr>
    <w:rPr>
      <w:rFonts w:ascii="Times New Roman" w:eastAsia="Times New Roman" w:hAnsi="Times New Roman" w:cs="David"/>
      <w:noProof/>
      <w:sz w:val="24"/>
      <w:szCs w:val="24"/>
    </w:rPr>
  </w:style>
  <w:style w:type="paragraph" w:customStyle="1" w:styleId="4DC45A2FD697422FAA3CD896A84FA7B421">
    <w:name w:val="4DC45A2FD697422FAA3CD896A84FA7B421"/>
    <w:rsid w:val="00D3591F"/>
    <w:pPr>
      <w:bidi/>
      <w:spacing w:after="0" w:line="240" w:lineRule="auto"/>
    </w:pPr>
    <w:rPr>
      <w:rFonts w:ascii="Times New Roman" w:eastAsia="Times New Roman" w:hAnsi="Times New Roman" w:cs="David"/>
      <w:noProof/>
      <w:sz w:val="24"/>
      <w:szCs w:val="24"/>
    </w:rPr>
  </w:style>
  <w:style w:type="paragraph" w:customStyle="1" w:styleId="57F8E24773DD469492F03DBB6854D52013">
    <w:name w:val="57F8E24773DD469492F03DBB6854D52013"/>
    <w:rsid w:val="00D3591F"/>
    <w:pPr>
      <w:bidi/>
      <w:spacing w:after="0" w:line="240" w:lineRule="auto"/>
    </w:pPr>
    <w:rPr>
      <w:rFonts w:ascii="Times New Roman" w:eastAsia="Times New Roman" w:hAnsi="Times New Roman" w:cs="David"/>
      <w:noProof/>
      <w:sz w:val="24"/>
      <w:szCs w:val="24"/>
    </w:rPr>
  </w:style>
  <w:style w:type="paragraph" w:customStyle="1" w:styleId="226CD4C9E3E2414DB1EB2EF65834F73713">
    <w:name w:val="226CD4C9E3E2414DB1EB2EF65834F73713"/>
    <w:rsid w:val="00D3591F"/>
    <w:pPr>
      <w:bidi/>
      <w:spacing w:after="0" w:line="240" w:lineRule="auto"/>
    </w:pPr>
    <w:rPr>
      <w:rFonts w:ascii="Times New Roman" w:eastAsia="Times New Roman" w:hAnsi="Times New Roman" w:cs="David"/>
      <w:noProof/>
      <w:sz w:val="24"/>
      <w:szCs w:val="24"/>
    </w:rPr>
  </w:style>
  <w:style w:type="paragraph" w:customStyle="1" w:styleId="07469710CC3040989E035211338398A213">
    <w:name w:val="07469710CC3040989E035211338398A213"/>
    <w:rsid w:val="00D3591F"/>
    <w:pPr>
      <w:bidi/>
      <w:spacing w:after="0" w:line="240" w:lineRule="auto"/>
    </w:pPr>
    <w:rPr>
      <w:rFonts w:ascii="Times New Roman" w:eastAsia="Times New Roman" w:hAnsi="Times New Roman" w:cs="David"/>
      <w:noProof/>
      <w:sz w:val="24"/>
      <w:szCs w:val="24"/>
    </w:rPr>
  </w:style>
  <w:style w:type="paragraph" w:customStyle="1" w:styleId="C4F954AF035A4D36B8CEF04207E24CE613">
    <w:name w:val="C4F954AF035A4D36B8CEF04207E24CE613"/>
    <w:rsid w:val="00D3591F"/>
    <w:pPr>
      <w:bidi/>
      <w:spacing w:after="0" w:line="240" w:lineRule="auto"/>
    </w:pPr>
    <w:rPr>
      <w:rFonts w:ascii="Times New Roman" w:eastAsia="Times New Roman" w:hAnsi="Times New Roman" w:cs="David"/>
      <w:noProof/>
      <w:sz w:val="24"/>
      <w:szCs w:val="24"/>
    </w:rPr>
  </w:style>
  <w:style w:type="paragraph" w:customStyle="1" w:styleId="254DD7E843014C7D817D6B2B08E9B38B2">
    <w:name w:val="254DD7E843014C7D817D6B2B08E9B38B2"/>
    <w:rsid w:val="00D3591F"/>
    <w:pPr>
      <w:bidi/>
      <w:spacing w:after="0" w:line="240" w:lineRule="auto"/>
    </w:pPr>
    <w:rPr>
      <w:rFonts w:ascii="Times New Roman" w:eastAsia="Times New Roman" w:hAnsi="Times New Roman" w:cs="David"/>
      <w:noProof/>
      <w:sz w:val="24"/>
      <w:szCs w:val="24"/>
    </w:rPr>
  </w:style>
  <w:style w:type="paragraph" w:customStyle="1" w:styleId="25B9EEA87DDA4445ABEC0596927959F32">
    <w:name w:val="25B9EEA87DDA4445ABEC0596927959F32"/>
    <w:rsid w:val="00D3591F"/>
    <w:pPr>
      <w:bidi/>
      <w:spacing w:after="0" w:line="240" w:lineRule="auto"/>
    </w:pPr>
    <w:rPr>
      <w:rFonts w:ascii="Times New Roman" w:eastAsia="Times New Roman" w:hAnsi="Times New Roman" w:cs="David"/>
      <w:noProof/>
      <w:sz w:val="24"/>
      <w:szCs w:val="24"/>
    </w:rPr>
  </w:style>
  <w:style w:type="paragraph" w:customStyle="1" w:styleId="DC4D7FD72EEE4475BB0024139DAD571D">
    <w:name w:val="DC4D7FD72EEE4475BB0024139DAD571D"/>
    <w:rsid w:val="00371DF4"/>
    <w:pPr>
      <w:bidi/>
      <w:spacing w:after="160" w:line="259" w:lineRule="auto"/>
    </w:pPr>
  </w:style>
  <w:style w:type="paragraph" w:customStyle="1" w:styleId="11559755FE3949A59FA2DA4FD2F7DDE8">
    <w:name w:val="11559755FE3949A59FA2DA4FD2F7DDE8"/>
    <w:rsid w:val="00371DF4"/>
    <w:pPr>
      <w:bidi/>
      <w:spacing w:after="160" w:line="259" w:lineRule="auto"/>
    </w:pPr>
  </w:style>
  <w:style w:type="paragraph" w:customStyle="1" w:styleId="FBE282709F7644F0B528C19F5BB2F88F">
    <w:name w:val="FBE282709F7644F0B528C19F5BB2F88F"/>
    <w:rsid w:val="00371DF4"/>
    <w:pPr>
      <w:bidi/>
      <w:spacing w:after="160" w:line="259" w:lineRule="auto"/>
    </w:pPr>
  </w:style>
  <w:style w:type="paragraph" w:customStyle="1" w:styleId="B7A5A4D0480949F09A3D46354ED05DC6">
    <w:name w:val="B7A5A4D0480949F09A3D46354ED05DC6"/>
    <w:rsid w:val="00371DF4"/>
    <w:pPr>
      <w:bidi/>
      <w:spacing w:after="160" w:line="259" w:lineRule="auto"/>
    </w:pPr>
  </w:style>
  <w:style w:type="paragraph" w:customStyle="1" w:styleId="0D9FC0D6C676448A81FF659478D495E8">
    <w:name w:val="0D9FC0D6C676448A81FF659478D495E8"/>
    <w:rsid w:val="00371DF4"/>
    <w:pPr>
      <w:bidi/>
      <w:spacing w:after="160" w:line="259" w:lineRule="auto"/>
    </w:pPr>
  </w:style>
  <w:style w:type="paragraph" w:customStyle="1" w:styleId="23713ED0944F420989B0BCDD73D703B4">
    <w:name w:val="23713ED0944F420989B0BCDD73D703B4"/>
    <w:rsid w:val="00371DF4"/>
    <w:pPr>
      <w:bidi/>
      <w:spacing w:after="160" w:line="259" w:lineRule="auto"/>
    </w:pPr>
  </w:style>
  <w:style w:type="paragraph" w:customStyle="1" w:styleId="3975A9BBC6384C90892C699CF234BDAB">
    <w:name w:val="3975A9BBC6384C90892C699CF234BDAB"/>
    <w:rsid w:val="00371DF4"/>
    <w:pPr>
      <w:bidi/>
      <w:spacing w:after="160" w:line="259" w:lineRule="auto"/>
    </w:pPr>
  </w:style>
  <w:style w:type="paragraph" w:customStyle="1" w:styleId="B1F3A140A16D4E139C7AFCFC1F5645A4">
    <w:name w:val="B1F3A140A16D4E139C7AFCFC1F5645A4"/>
    <w:rsid w:val="00371DF4"/>
    <w:pPr>
      <w:bidi/>
      <w:spacing w:after="160" w:line="259" w:lineRule="auto"/>
    </w:pPr>
  </w:style>
  <w:style w:type="paragraph" w:customStyle="1" w:styleId="0AA37E1975D7475D9D35A98F4FF248FD">
    <w:name w:val="0AA37E1975D7475D9D35A98F4FF248FD"/>
    <w:rsid w:val="00371DF4"/>
    <w:pPr>
      <w:bidi/>
      <w:spacing w:after="160" w:line="259" w:lineRule="auto"/>
    </w:pPr>
  </w:style>
  <w:style w:type="paragraph" w:customStyle="1" w:styleId="DDB2F2EA02934A36BEB3F6F225D1A82A">
    <w:name w:val="DDB2F2EA02934A36BEB3F6F225D1A82A"/>
    <w:rsid w:val="00371DF4"/>
    <w:pPr>
      <w:bidi/>
      <w:spacing w:after="160" w:line="259" w:lineRule="auto"/>
    </w:pPr>
  </w:style>
  <w:style w:type="paragraph" w:customStyle="1" w:styleId="AEE59DEAF63F44878BD40144596FECA7">
    <w:name w:val="AEE59DEAF63F44878BD40144596FECA7"/>
    <w:rsid w:val="00371DF4"/>
    <w:pPr>
      <w:bidi/>
      <w:spacing w:after="160" w:line="259" w:lineRule="auto"/>
    </w:pPr>
  </w:style>
  <w:style w:type="paragraph" w:customStyle="1" w:styleId="06FFA198B1D745AEA3696909AFFAEA6D">
    <w:name w:val="06FFA198B1D745AEA3696909AFFAEA6D"/>
    <w:rsid w:val="00371DF4"/>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
</file>

<file path=customXml/item10.xml><?xml version="1.0" encoding="utf-8"?>
<b:Sources xmlns:b="http://schemas.openxmlformats.org/officeDocument/2006/bibliography" xmlns="http://schemas.openxmlformats.org/officeDocument/2006/bibliography" SelectedStyle="\APA.XSL" StyleName="APA"/>
</file>

<file path=customXml/item2.xml>
</file>

<file path=customXml/item3.xml>
</file>

<file path=customXml/item4.xml>
</file>

<file path=customXml/item5.xml>
</file>

<file path=customXml/item6.xml>
</file>

<file path=customXml/item7.xml>
</file>

<file path=customXml/item8.xml>
</file>

<file path=customXml/item9.xml><?xml version="1.0" encoding="utf-8"?>
<DecisionTemplateDS>
  <dt_Decision>
    <DecisionID>0</DecisionID>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iesSelectionDS>
      <CaseParties>
        <PartyTypeName>בא כוח</PartyTypeName>
        <ProceedingType>כתב טענות עיקרי</ProceedingType>
        <PleaName>עתירה</PleaName>
        <PartyBelonging> - </PartyBelonging>
        <RoleName>בא כוח מבקשים</RoleName>
        <IsSubProceeding>FALSE</IsSubProceeding>
        <FullName>יהודה אליהו פואה</FullName>
        <FirstName>יהודה אליהו</FirstName>
        <LastName>פואה</LastName>
        <PartyPropertyName/>
        <AuthenticationTypeAndNumber>מ.ר. 98068</AuthenticationTypeAndNumber>
        <RepresentatedOrRepresentativesNames> , מירב שחר, אורן תמם, אלברט תמם, גליה תמם, נימרוד תמם</RepresentatedOrRepresentativesNames>
        <RepresentatedOrRepresentativesCount>6</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276532983</CasePartyID>
        <PartyTypeID>2</PartyTypeID>
        <ActivityStatusID>1</ActivityStatusID>
        <PartyAliasID>22</PartyAliasID>
        <PartyAliasName>בא כוח מבקשים</PartyAliasName>
        <LegalEntityID>81824685</LegalEntityID>
        <CaseLegalEntityID>131944055</CaseLegalEntityID>
        <AuthenticationTypeID>4</AuthenticationTypeID>
        <AuthenticationTypeName>מ.ר.</AuthenticationTypeName>
        <LegalEntityNumber>98068</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הלל 2 ירושלים </FullAddress>
        <EmailAddress>mijaell22@gmail.com</EmailAddress>
        <MotionID>0</MotionID>
        <CasePleaID>0</CasePleaID>
        <LinkedCaseID>0</LinkedCaseID>
        <PartyID>2</PartyID>
        <CasePartyCategoryID>2</CasePartyCategoryID>
        <LegalEntityAddressID>79639296</LegalEntityAddressID>
        <LegalEntityEmailAddressID>67935952</LegalEntityEmailAddressID>
        <PleaTypeID>20</PleaTypeID>
        <LawyerOfficeName>משרד עו"ד מיכאל ליטווק</LawyerOfficeName>
        <LawyerOfficeID>76150618</LawyerOfficeID>
        <GroupPartyAlias/>
        <IsConverted>false</IsConverted>
        <LegalEntityNameID>96373547</LegalEntityNameID>
        <RepresentatedNamesOfAssistant/>
        <LegalEntityTypeID>4</LegalEntityTypeID>
        <IsVerdictExists>false</IsVerdictExists>
        <IsAsirAzir>false</IsAsirAzir>
        <MainAndSecSpec/>
        <IsPublicationProhibited>false</IsPublicationProhibited>
        <PublicationProhibitedFullName>יהודה אליהו פואה</PublicationProhibitedFullName>
      </CaseParties>
      <CaseParties>
        <PartyTypeName>צד</PartyTypeName>
        <ProceedingType>כתב טענות עיקרי</ProceedingType>
        <PleaName>עתירה</PleaName>
        <PartyBelonging>צד א'</PartyBelonging>
        <RoleName>עותר 1</RoleName>
        <IsSubProceeding>FALSE</IsSubProceeding>
        <FullName>סנא דקה</FullName>
        <FirstName>סנא</FirstName>
        <LastName>דקה</LastName>
        <PartyPropertyName/>
        <AuthenticationTypeAndNumber>ת"ז 023223787</AuthenticationTypeAndNumber>
        <RepresentatedOrRepresentativesNames>סוהאד בשארה</RepresentatedOrRepresentativesNames>
        <RepresentatedOrRepresentativesCount>2</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275282099</CasePartyID>
        <PartyTypeID>1</PartyTypeID>
        <ActivityStatusID>1</ActivityStatusID>
        <PartyAliasID>14</PartyAliasID>
        <PartyAliasName>עותר</PartyAliasName>
        <OrdinalNumber>1</OrdinalNumber>
        <LegalEntityID>5511990</LegalEntityID>
        <CaseLegalEntityID>131682151</CaseLegalEntityID>
        <AuthenticationTypeID>1</AuthenticationTypeID>
        <AuthenticationTypeName>ת"ז</AuthenticationTypeName>
        <LegalEntityNumber>023223787</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1</PartyID>
        <CasePartyCategoryID>2</CasePartyCategoryID>
        <PleaTypeID>20</PleaTypeID>
        <GroupPartyAlias>עותרים</GroupPartyAlias>
        <IsConverted>true</IsConverted>
        <LegalEntityRegisteredNameID>9404775</LegalEntityRegisteredNameID>
        <LegalEntityNameID>97981477</LegalEntityNameID>
        <RepresentatedNamesOfAssistant/>
        <LegalEntityTypeID>1</LegalEntityTypeID>
        <IsVerdictExists>false</IsVerdictExists>
        <IsAsirAzir>false</IsAsirAzir>
        <MainAndSecSpec/>
        <IsPublicationProhibited>false</IsPublicationProhibited>
        <PublicationProhibitedFullName>סנא דקה</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אבי מיליקובסקי</FullName>
        <FirstName>אבי</FirstName>
        <LastName>מיליקובסקי</LastName>
        <PartyPropertyName/>
        <AuthenticationTypeAndNumber>מ.ר. 46905</AuthenticationTypeAndNumber>
        <RepresentatedOrRepresentativesNames> היועצת המשפטית לממשלה,  יעקב שבתאי, מפכ"ל המשטרה,  ניצב דני לוי, מפקד מחוז חוף,  קובי יעקובי, ממלא מקום נציב שירות בתי הסוהר, , שר הבטחון</RepresentatedOrRepresentativesNames>
        <RepresentatedOrRepresentativesCount>5</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275282106</CasePartyID>
        <PartyTypeID>2</PartyTypeID>
        <ActivityStatusID>1</ActivityStatusID>
        <PartyAliasID>23</PartyAliasID>
        <PartyAliasName>בא כוח משיבים</PartyAliasName>
        <OrdinalNumber>1</OrdinalNumber>
        <LegalEntityID>15879982</LegalEntityID>
        <CaseLegalEntityID>131682150</CaseLegalEntityID>
        <AuthenticationTypeID>4</AuthenticationTypeID>
        <AuthenticationTypeName>מ.ר.</AuthenticationTypeName>
        <LegalEntityNumber>46905</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פרקליטות המדינה, ירושלים</FullAddress>
        <EmailAddress>hcj-dep@justice.gov</EmailAddress>
        <MotionID>0</MotionID>
        <CasePleaID>0</CasePleaID>
        <LinkedCaseID>0</LinkedCaseID>
        <PartyID>2</PartyID>
        <CasePartyCategoryID>2</CasePartyCategoryID>
        <LegalEntityAddressID>90543793</LegalEntityAddressID>
        <LegalEntityEmailAddressID>68414691</LegalEntityEmailAddressID>
        <PleaTypeID>20</PleaTypeID>
        <LawyerOfficeName>פרקליטות המדינה - מחלקת בג"צים</LawyerOfficeName>
        <LawyerOfficeID>419586</LawyerOfficeID>
        <GroupPartyAlias/>
        <IsConverted>true</IsConverted>
        <LegalEntityNameID>17527082</LegalEntityNameID>
        <RepresentatedNamesOfAssistant/>
        <LegalEntityTypeID>4</LegalEntityTypeID>
        <IsVerdictExists>false</IsVerdictExists>
        <IsAsirAzir>false</IsAsirAzir>
        <MainAndSecSpec/>
        <IsPublicationProhibited>false</IsPublicationProhibited>
        <PublicationProhibitedFullName>אבי מיליקובסקי</PublicationProhibitedFullName>
      </CaseParties>
      <CaseParties>
        <PartyTypeName>צד</PartyTypeName>
        <ProceedingType>כתב טענות עיקרי</ProceedingType>
        <PleaName>עתירה</PleaName>
        <PartyBelonging>צד ב'</PartyBelonging>
        <RoleName>משיב 1</RoleName>
        <IsSubProceeding>FALSE</IsSubProceeding>
        <FullName>קובי יעקובי, ממלא מקום נציב שירות בתי הסוהר</FullName>
        <FirstName/>
        <LastName>קובי יעקובי, ממלא מקום נציב שירות בתי הסוהר</LastName>
        <PartyPropertyName/>
        <AuthenticationTypeAndNumber>ת"ז </AuthenticationTypeAndNumber>
        <RepresentatedOrRepresentativesNames>אבי מיליקובסקי</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275282100</CasePartyID>
        <PartyTypeID>1</PartyTypeID>
        <ActivityStatusID>1</ActivityStatusID>
        <PartyAliasID>4</PartyAliasID>
        <PartyAliasName>משיב</PartyAliasName>
        <OrdinalNumber>1</OrdinalNumber>
        <LegalEntityID>82861586</LegalEntityID>
        <CaseLegalEntityID>131682155</CaseLegalEntityID>
        <AuthenticationTypeID>1</AuthenticationTypeID>
        <AuthenticationTypeName>ת"ז</AuthenticationTypeName>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2</PartyID>
        <CasePartyCategoryID>2</CasePartyCategoryID>
        <PleaTypeID>20</PleaTypeID>
        <GroupPartyAlias>משיבים</GroupPartyAlias>
        <IsConverted>true</IsConverted>
        <LegalEntityNameID>97981479</LegalEntityNameID>
        <RepresentatedNamesOfAssistant/>
        <LegalEntityTypeID>1</LegalEntityTypeID>
        <IsVerdictExists>false</IsVerdictExists>
        <IsAsirAzir>false</IsAsirAzir>
        <MainAndSecSpec/>
        <IsPublicationProhibited>false</IsPublicationProhibited>
        <PublicationProhibitedFullName>קובי יעקובי, ממלא מקום נציב שירות בתי הסוהר</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סוהאד בשארה</FullName>
        <FirstName>סוהאד</FirstName>
        <LastName>בשארה</LastName>
        <PartyPropertyName/>
        <AuthenticationTypeAndNumber>מ.ר. 16978</AuthenticationTypeAndNumber>
        <RepresentatedOrRepresentativesNames> אסעד דקה,  סנא דקה</RepresentatedOrRepresentativesNames>
        <RepresentatedOrRepresentativesCount>4</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275282107</CasePartyID>
        <PartyTypeID>2</PartyTypeID>
        <ActivityStatusID>1</ActivityStatusID>
        <PartyAliasID>33</PartyAliasID>
        <PartyAliasName>בא כוח עותרים</PartyAliasName>
        <OrdinalNumber>2</OrdinalNumber>
        <LegalEntityID>397617</LegalEntityID>
        <CaseLegalEntityID>131682149</CaseLegalEntityID>
        <AuthenticationTypeID>4</AuthenticationTypeID>
        <AuthenticationTypeName>מ.ר.</AuthenticationTypeName>
        <LegalEntityNumber>16978</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יפו 94 חיפה ת.ד 8921</FullAddress>
        <EmailAddress>adalah@adalah.org</EmailAddress>
        <MotionID>0</MotionID>
        <CasePleaID>0</CasePleaID>
        <FatherName xml:space="preserve">        </FatherName>
        <LinkedCaseID>0</LinkedCaseID>
        <PartyID>1</PartyID>
        <CasePartyCategoryID>2</CasePartyCategoryID>
        <LegalEntityAddressID>75928169</LegalEntityAddressID>
        <LegalEntityEmailAddressID>67892537</LegalEntityEmailAddressID>
        <PleaTypeID>20</PleaTypeID>
        <LawyerOfficeName>משרד עו"ד: עדאלה</LawyerOfficeName>
        <LawyerOfficeID>427054</LawyerOfficeID>
        <GroupPartyAlias/>
        <IsConverted>false</IsConverted>
        <LegalEntityNameID>18601</LegalEntityNameID>
        <RepresentatedNamesOfAssistant/>
        <LegalEntityTypeID>4</LegalEntityTypeID>
        <IsVerdictExists>false</IsVerdictExists>
        <IsAsirAzir>false</IsAsirAzir>
        <MainAndSecSpec/>
        <IsPublicationProhibited>false</IsPublicationProhibited>
        <PublicationProhibitedFullName>סוהאד בשארה</PublicationProhibitedFullName>
      </CaseParties>
      <CaseParties>
        <PartyTypeName>צד</PartyTypeName>
        <ProceedingType>כתב טענות עיקרי</ProceedingType>
        <PleaName>עתירה</PleaName>
        <PartyBelonging>צד א'</PartyBelonging>
        <RoleName>עותר 2</RoleName>
        <IsSubProceeding>FALSE</IsSubProceeding>
        <FullName>אסעד דקה</FullName>
        <FirstName>אסעד</FirstName>
        <LastName>דקה</LastName>
        <PartyPropertyName/>
        <AuthenticationTypeAndNumber>ת"ז 059395582</AuthenticationTypeAndNumber>
        <RepresentatedOrRepresentativesNames>סוהאד בשארה</RepresentatedOrRepresentativesNames>
        <RepresentatedOrRepresentativesCount>2</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275282101</CasePartyID>
        <PartyTypeID>1</PartyTypeID>
        <ActivityStatusID>1</ActivityStatusID>
        <PartyAliasID>14</PartyAliasID>
        <PartyAliasName>עותר</PartyAliasName>
        <OrdinalNumber>2</OrdinalNumber>
        <LegalEntityID>75976274</LegalEntityID>
        <CaseLegalEntityID>131682152</CaseLegalEntityID>
        <AuthenticationTypeID>1</AuthenticationTypeID>
        <AuthenticationTypeName>ת"ז</AuthenticationTypeName>
        <LegalEntityNumber>059395582</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נימר</FatherName>
        <LinkedCaseID>0</LinkedCaseID>
        <PartyID>1</PartyID>
        <CasePartyCategoryID>2</CasePartyCategoryID>
        <PleaTypeID>20</PleaTypeID>
        <GroupPartyAlias>עותרים</GroupPartyAlias>
        <IsConverted>true</IsConverted>
        <LegalEntityRegisteredNameID>8426213</LegalEntityRegisteredNameID>
        <LegalEntityNameID>97981478</LegalEntityNameID>
        <RepresentatedNamesOfAssistant/>
        <LegalEntityTypeID>1</LegalEntityTypeID>
        <IsVerdictExists>false</IsVerdictExists>
        <IsAsirAzir>false</IsAsirAzir>
        <MainAndSecSpec/>
        <IsPublicationProhibited>false</IsPublicationProhibited>
        <PublicationProhibitedFullName>אסעד דקה</PublicationProhibitedFullName>
      </CaseParties>
      <CaseParties>
        <PartyTypeName>צד</PartyTypeName>
        <ProceedingType>כתב טענות עיקרי</ProceedingType>
        <PleaName>עתירה</PleaName>
        <PartyBelonging>צד ב'</PartyBelonging>
        <RoleName>משיב 2</RoleName>
        <IsSubProceeding>FALSE</IsSubProceeding>
        <FullName>ניצב דני לוי, מפקד מחוז חוף</FullName>
        <FirstName/>
        <LastName>ניצב דני לוי, מפקד מחוז חוף</LastName>
        <PartyPropertyName/>
        <AuthenticationTypeAndNumber>ת"ז </AuthenticationTypeAndNumber>
        <RepresentatedOrRepresentativesNames>אבי מיליקובסקי</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275282102</CasePartyID>
        <PartyTypeID>1</PartyTypeID>
        <ActivityStatusID>1</ActivityStatusID>
        <PartyAliasID>4</PartyAliasID>
        <PartyAliasName>משיב</PartyAliasName>
        <OrdinalNumber>2</OrdinalNumber>
        <LegalEntityID>82861652</LegalEntityID>
        <CaseLegalEntityID>131682154</CaseLegalEntityID>
        <AuthenticationTypeID>1</AuthenticationTypeID>
        <AuthenticationTypeName>ת"ז</AuthenticationTypeName>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2</PartyID>
        <CasePartyCategoryID>2</CasePartyCategoryID>
        <PleaTypeID>20</PleaTypeID>
        <GroupPartyAlias>משיבים</GroupPartyAlias>
        <IsConverted>true</IsConverted>
        <LegalEntityNameID>97981480</LegalEntityNameID>
        <RepresentatedNamesOfAssistant/>
        <LegalEntityTypeID>1</LegalEntityTypeID>
        <IsVerdictExists>false</IsVerdictExists>
        <IsAsirAzir>false</IsAsirAzir>
        <MainAndSecSpec/>
        <IsPublicationProhibited>false</IsPublicationProhibited>
        <PublicationProhibitedFullName>ניצב דני לוי, מפקד מחוז חוף</PublicationProhibitedFullName>
      </CaseParties>
      <CaseParties>
        <PartyTypeName>צד</PartyTypeName>
        <ProceedingType>כתב טענות עיקרי</ProceedingType>
        <PleaName>עתירה</PleaName>
        <PartyBelonging>צד ב'</PartyBelonging>
        <RoleName>משיב 3</RoleName>
        <IsSubProceeding>FALSE</IsSubProceeding>
        <FullName>יעקב שבתאי, מפכ"ל המשטרה</FullName>
        <FirstName/>
        <LastName>יעקב שבתאי, מפכ"ל המשטרה</LastName>
        <PartyPropertyName/>
        <AuthenticationTypeAndNumber>ת"ז </AuthenticationTypeAndNumber>
        <RepresentatedOrRepresentativesNames>אבי מיליקובסקי</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275282103</CasePartyID>
        <PartyTypeID>1</PartyTypeID>
        <ActivityStatusID>1</ActivityStatusID>
        <PartyAliasID>4</PartyAliasID>
        <PartyAliasName>משיב</PartyAliasName>
        <OrdinalNumber>3</OrdinalNumber>
        <LegalEntityID>82861587</LegalEntityID>
        <CaseLegalEntityID>131682156</CaseLegalEntityID>
        <AuthenticationTypeID>1</AuthenticationTypeID>
        <AuthenticationTypeName>ת"ז</AuthenticationTypeName>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2</PartyID>
        <CasePartyCategoryID>2</CasePartyCategoryID>
        <PleaTypeID>20</PleaTypeID>
        <GroupPartyAlias>משיבים</GroupPartyAlias>
        <IsConverted>true</IsConverted>
        <LegalEntityNameID>97981481</LegalEntityNameID>
        <RepresentatedNamesOfAssistant/>
        <LegalEntityTypeID>1</LegalEntityTypeID>
        <IsVerdictExists>false</IsVerdictExists>
        <IsAsirAzir>false</IsAsirAzir>
        <MainAndSecSpec/>
        <IsPublicationProhibited>false</IsPublicationProhibited>
        <PublicationProhibitedFullName>יעקב שבתאי, מפכ"ל המשטרה</PublicationProhibitedFullName>
      </CaseParties>
      <CaseParties>
        <PartyTypeName>צד</PartyTypeName>
        <ProceedingType>כתב טענות עיקרי</ProceedingType>
        <PleaName>עתירה</PleaName>
        <PartyBelonging>צד ב'</PartyBelonging>
        <RoleName>משיב 4</RoleName>
        <IsSubProceeding>FALSE</IsSubProceeding>
        <FullName>היועצת המשפטית לממשלה</FullName>
        <FirstName/>
        <LastName>היועצת המשפטית לממשלה</LastName>
        <PartyPropertyName/>
        <AuthenticationTypeAndNumber>ת"ז </AuthenticationTypeAndNumber>
        <RepresentatedOrRepresentativesNames>אבי מיליקובסקי</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275282104</CasePartyID>
        <PartyTypeID>1</PartyTypeID>
        <ActivityStatusID>1</ActivityStatusID>
        <PartyAliasID>4</PartyAliasID>
        <PartyAliasName>משיב</PartyAliasName>
        <OrdinalNumber>4</OrdinalNumber>
        <LegalEntityID>82861598</LegalEntityID>
        <CaseLegalEntityID>131682153</CaseLegalEntityID>
        <AuthenticationTypeID>1</AuthenticationTypeID>
        <AuthenticationTypeName>ת"ז</AuthenticationTypeName>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2</PartyID>
        <CasePartyCategoryID>2</CasePartyCategoryID>
        <PleaTypeID>20</PleaTypeID>
        <GroupPartyAlias>משיבים</GroupPartyAlias>
        <IsConverted>true</IsConverted>
        <LegalEntityNameID>97981482</LegalEntityNameID>
        <RepresentatedNamesOfAssistant/>
        <LegalEntityTypeID>1</LegalEntityTypeID>
        <IsVerdictExists>false</IsVerdictExists>
        <IsAsirAzir>false</IsAsirAzir>
        <MainAndSecSpec/>
        <IsPublicationProhibited>false</IsPublicationProhibited>
        <PublicationProhibitedFullName>היועצת המשפטית לממשלה</PublicationProhibitedFullName>
      </CaseParties>
      <CaseParties>
        <PartyTypeName>צד</PartyTypeName>
        <ProceedingType>כתב טענות עיקרי</ProceedingType>
        <PleaName>עתירה</PleaName>
        <PartyBelonging>צד ב'</PartyBelonging>
        <RoleName>משיב 5</RoleName>
        <IsSubProceeding>FALSE</IsSubProceeding>
        <FullName>, שר הבטחון</FullName>
        <FirstName>,</FirstName>
        <LastName>שר הבטחון</LastName>
        <PartyPropertyName/>
        <AuthenticationTypeAndNumber>ת"ז </AuthenticationTypeAndNumber>
        <RepresentatedOrRepresentativesNames>אבי מיליקובסקי</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275282105</CasePartyID>
        <PartyTypeID>1</PartyTypeID>
        <ActivityStatusID>1</ActivityStatusID>
        <PartyAliasID>4</PartyAliasID>
        <PartyAliasName>משיב</PartyAliasName>
        <OrdinalNumber>5</OrdinalNumber>
        <LegalEntityID>82861819</LegalEntityID>
        <CaseLegalEntityID>131682157</CaseLegalEntityID>
        <AuthenticationTypeID>1</AuthenticationTypeID>
        <AuthenticationTypeName>ת"ז</AuthenticationTypeName>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2</PartyID>
        <CasePartyCategoryID>2</CasePartyCategoryID>
        <PleaTypeID>20</PleaTypeID>
        <GroupPartyAlias>משיבים</GroupPartyAlias>
        <IsConverted>true</IsConverted>
        <LegalEntityNameID>97981483</LegalEntityNameID>
        <RepresentatedNamesOfAssistant/>
        <LegalEntityTypeID>1</LegalEntityTypeID>
        <IsVerdictExists>false</IsVerdictExists>
        <IsAsirAzir>false</IsAsirAzir>
        <MainAndSecSpec/>
        <IsPublicationProhibited>false</IsPublicationProhibited>
        <PublicationProhibitedFullName>, שר הבטחון</PublicationProhibitedFullName>
      </CaseParties>
      <CaseParties>
        <PartyTypeName>צד</PartyTypeName>
        <ProceedingType>כתב טענות עיקרי</ProceedingType>
        <PleaName>עתירה</PleaName>
        <PartyBelonging>צד ב'</PartyBelonging>
        <RoleName>משיב 6</RoleName>
        <IsSubProceeding>FALSE</IsSubProceeding>
        <FullName>גליה תמם</FullName>
        <FirstName>גליה</FirstName>
        <LastName>תמם</LastName>
        <PartyPropertyName/>
        <AuthenticationTypeAndNumber>ת"ז 063613319</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276533012</CasePartyID>
        <PartyTypeID>1</PartyTypeID>
        <ActivityStatusID>1</ActivityStatusID>
        <PartyAliasID>4</PartyAliasID>
        <PartyAliasName>משיב</PartyAliasName>
        <OrdinalNumber>6</OrdinalNumber>
        <LegalEntityID>22085845</LegalEntityID>
        <CaseLegalEntityID>131926735</CaseLegalEntityID>
        <AuthenticationTypeID>1</AuthenticationTypeID>
        <AuthenticationTypeName>ת"ז</AuthenticationTypeName>
        <LegalEntityNumber>063613319</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מוריס</FatherName>
        <LinkedCaseID>0</LinkedCaseID>
        <PartyID>2</PartyID>
        <CasePartyCategoryID>2</CasePartyCategoryID>
        <PleaTypeID>20</PleaTypeID>
        <GroupPartyAlias>משיבים</GroupPartyAlias>
        <IsConverted>false</IsConverted>
        <LegalEntityRegisteredNameID>4384232</LegalEntityRegisteredNameID>
        <LegalEntityNameID>98089400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גליה תמם</PublicationProhibitedFullName>
      </CaseParties>
      <CaseParties>
        <PartyTypeName>צד</PartyTypeName>
        <ProceedingType>כתב טענות עיקרי</ProceedingType>
        <PleaName>עתירה</PleaName>
        <PartyBelonging>צד ב'</PartyBelonging>
        <RoleName>משיב 7</RoleName>
        <IsSubProceeding>FALSE</IsSubProceeding>
        <FullName>אורן תמם</FullName>
        <FirstName>אורן</FirstName>
        <LastName>תמם</LastName>
        <PartyPropertyName/>
        <AuthenticationTypeAndNumber>ת"ז 057749483</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276533024</CasePartyID>
        <PartyTypeID>1</PartyTypeID>
        <ActivityStatusID>1</ActivityStatusID>
        <PartyAliasID>4</PartyAliasID>
        <PartyAliasName>משיב</PartyAliasName>
        <OrdinalNumber>7</OrdinalNumber>
        <LegalEntityID>70505872</LegalEntityID>
        <CaseLegalEntityID>131926736</CaseLegalEntityID>
        <AuthenticationTypeID>1</AuthenticationTypeID>
        <AuthenticationTypeName>ת"ז</AuthenticationTypeName>
        <LegalEntityNumber>057749483</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אלי</FatherName>
        <LinkedCaseID>0</LinkedCaseID>
        <PartyID>2</PartyID>
        <CasePartyCategoryID>2</CasePartyCategoryID>
        <PleaTypeID>20</PleaTypeID>
        <GroupPartyAlias>משיבים</GroupPartyAlias>
        <IsConverted>false</IsConverted>
        <LegalEntityRegisteredNameID>6542535</LegalEntityRegisteredNameID>
        <LegalEntityNameID>98089401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אורן תמם</PublicationProhibitedFullName>
      </CaseParties>
      <CaseParties>
        <PartyTypeName>צד</PartyTypeName>
        <ProceedingType>כתב טענות עיקרי</ProceedingType>
        <PleaName>עתירה</PleaName>
        <PartyBelonging>צד ב'</PartyBelonging>
        <RoleName>משיב 8</RoleName>
        <IsSubProceeding>FALSE</IsSubProceeding>
        <FullName>אלברט תמם</FullName>
        <FirstName>אלברט</FirstName>
        <LastName>תמם</LastName>
        <PartyPropertyName/>
        <AuthenticationTypeAndNumber>ת"ז 058705955</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276533025</CasePartyID>
        <PartyTypeID>1</PartyTypeID>
        <ActivityStatusID>1</ActivityStatusID>
        <PartyAliasID>4</PartyAliasID>
        <PartyAliasName>משיב</PartyAliasName>
        <OrdinalNumber>8</OrdinalNumber>
        <LegalEntityID>71448173</LegalEntityID>
        <CaseLegalEntityID>131926737</CaseLegalEntityID>
        <AuthenticationTypeID>1</AuthenticationTypeID>
        <AuthenticationTypeName>ת"ז</AuthenticationTypeName>
        <LegalEntityNumber>058705955</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אלי</FatherName>
        <LinkedCaseID>0</LinkedCaseID>
        <PartyID>2</PartyID>
        <CasePartyCategoryID>2</CasePartyCategoryID>
        <PleaTypeID>20</PleaTypeID>
        <GroupPartyAlias>משיבים</GroupPartyAlias>
        <IsConverted>false</IsConverted>
        <LegalEntityRegisteredNameID>3249454</LegalEntityRegisteredNameID>
        <LegalEntityNameID>98089402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אלברט תמם</PublicationProhibitedFullName>
      </CaseParties>
      <CaseParties>
        <PartyTypeName>צד</PartyTypeName>
        <ProceedingType>כתב טענות עיקרי</ProceedingType>
        <PleaName>עתירה</PleaName>
        <PartyBelonging>צד ב'</PartyBelonging>
        <RoleName>משיב 9</RoleName>
        <IsSubProceeding>FALSE</IsSubProceeding>
        <FullName>נימרוד תמם</FullName>
        <FirstName>נימרוד</FirstName>
        <LastName>תמם</LastName>
        <PartyPropertyName/>
        <AuthenticationTypeAndNumber>ת"ז 024674699</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276533040</CasePartyID>
        <PartyTypeID>1</PartyTypeID>
        <ActivityStatusID>1</ActivityStatusID>
        <PartyAliasID>4</PartyAliasID>
        <PartyAliasName>משיב</PartyAliasName>
        <OrdinalNumber>9</OrdinalNumber>
        <LegalEntityID>23668404</LegalEntityID>
        <CaseLegalEntityID>131926738</CaseLegalEntityID>
        <AuthenticationTypeID>1</AuthenticationTypeID>
        <AuthenticationTypeName>ת"ז</AuthenticationTypeName>
        <LegalEntityNumber>024674699</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אלי</FatherName>
        <LinkedCaseID>0</LinkedCaseID>
        <PartyID>2</PartyID>
        <CasePartyCategoryID>2</CasePartyCategoryID>
        <PleaTypeID>20</PleaTypeID>
        <GroupPartyAlias>משיבים</GroupPartyAlias>
        <IsConverted>false</IsConverted>
        <LegalEntityRegisteredNameID>7108581</LegalEntityRegisteredNameID>
        <LegalEntityNameID>98089403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נימרוד תמם</PublicationProhibitedFullName>
      </CaseParties>
      <CaseParties>
        <PartyTypeName>צד</PartyTypeName>
        <ProceedingType>כתב טענות עיקרי</ProceedingType>
        <PleaName>עתירה</PleaName>
        <PartyBelonging>צד ב'</PartyBelonging>
        <RoleName>משיב 10</RoleName>
        <IsSubProceeding>FALSE</IsSubProceeding>
        <FullName>מירב שחר</FullName>
        <FirstName>מירב</FirstName>
        <LastName>שחר</LastName>
        <PartyPropertyName/>
        <AuthenticationTypeAndNumber>ת"ז 036486447</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276533041</CasePartyID>
        <PartyTypeID>1</PartyTypeID>
        <ActivityStatusID>1</ActivityStatusID>
        <PartyAliasID>4</PartyAliasID>
        <PartyAliasName>משיב</PartyAliasName>
        <OrdinalNumber>10</OrdinalNumber>
        <LegalEntityID>82916298</LegalEntityID>
        <CaseLegalEntityID>131926739</CaseLegalEntityID>
        <AuthenticationTypeID>1</AuthenticationTypeID>
        <AuthenticationTypeName>ת"ז</AuthenticationTypeName>
        <LegalEntityNumber>036486447</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אלי</FatherName>
        <LinkedCaseID>0</LinkedCaseID>
        <PartyID>2</PartyID>
        <CasePartyCategoryID>2</CasePartyCategoryID>
        <PleaTypeID>20</PleaTypeID>
        <GroupPartyAlias>משיבים</GroupPartyAlias>
        <IsConverted>false</IsConverted>
        <LegalEntityRegisteredNameID>10860272</LegalEntityRegisteredNameID>
        <LegalEntityNameID>98089404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מירב שחר</PublicationProhibitedFullName>
      </CaseParties>
      <CaseParties>
        <PartyTypeName>צד</PartyTypeName>
        <ProceedingType>כתב טענות עיקרי</ProceedingType>
        <PleaName>עתירה</PleaName>
        <PartyBelonging>צד ב'</PartyBelonging>
        <RoleName>משיב 11</RoleName>
        <IsSubProceeding>FALSE</IsSubProceeding>
        <FullName>"בצלמו" ארגון זכויות אדם ברוח יהודית (ע"ר)</FullName>
        <LastName>"בצלמו" ארגון זכויות אדם ברוח יהודית (ע"ר)</LastName>
        <PartyPropertyName/>
        <AuthenticationTypeAndNumber>עמותות 580622041</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276533044</CasePartyID>
        <PartyTypeID>1</PartyTypeID>
        <ActivityStatusID>1</ActivityStatusID>
        <PartyAliasID>4</PartyAliasID>
        <PartyAliasName>משיב</PartyAliasName>
        <OrdinalNumber>11</OrdinalNumber>
        <LegalEntityID>81863964</LegalEntityID>
        <CaseLegalEntityID>131926740</CaseLegalEntityID>
        <AuthenticationTypeID>8</AuthenticationTypeID>
        <AuthenticationTypeName>עמותות</AuthenticationTypeName>
        <LegalEntityNumber>580622041</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1 מצפה נטופה </FullAddress>
        <EmailAddress>puay10@gamil.com</EmailAddress>
        <MotionID>0</MotionID>
        <CasePleaID>0</CasePleaID>
        <LinkedCaseID>0</LinkedCaseID>
        <PartyID>2</PartyID>
        <CasePartyCategoryID>2</CasePartyCategoryID>
        <LegalEntityAddressID>89223314</LegalEntityAddressID>
        <LegalEntityEmailAddressID>68392777</LegalEntityEmailAddressID>
        <PleaTypeID>20</PleaTypeID>
        <GroupPartyAlias>משיבים</GroupPartyAlias>
        <IsConverted>false</IsConverted>
        <LegalEntityRegisteredNameID>10725765</LegalEntityRegisteredNameID>
        <RepresentatedNamesOfAssistant/>
        <LegalEntityTypeID>3</LegalEntityTypeID>
        <IsVerdictExists>false</IsVerdictExists>
        <IsAsirAzir>false</IsAsirAzir>
        <MainAndSecSpec/>
        <IsPublicationProhibited>false</IsPublicationProhibited>
        <PublicationProhibitedFullName>"בצלמו" ארגון זכויות אדם ברוח יהודית (ע"ר)</PublicationProhibitedFullName>
      </CaseParties>
    </CasePartiesSelectionDS>
    <DecisionName>פסק דין  שניתנה ע"י  יצחק עמית</DecisionName>
    <CourtDisplayName>בית המשפט הגבוה לצדק</CourtDisplayName>
    <IsCaseJudgePanel>false</IsCaseJudgePanel>
    <DecisionSignatureDate>2024-09-22T11:32:47.3475685+03:00</DecisionSignatureDate>
    <OpenCaseDate>2024-04-16T00:00:00+03:00</OpenCaseDate>
    <DecisionTypeID>2</DecisionTypeID>
    <DecisionSignatureUserName>יצחק עמית</DecisionSignatureUserName>
    <DecisionSignatureDateHebrew>2024-09-22T11:32:47.3475685+03:00</DecisionSignatureDateHebrew>
    <DecisionWriterID>055489611@GOV.IL</DecisionWriterID>
    <CourtAddress>רח' דרך השופט מאיר שמגר, ירושלים 9195001</CourtAddress>
    <IsAutoTextInCaseExist>false</IsAutoTextInCaseExist>
    <DecisionSignatureRoleName>שופט</DecisionSignatureRoleName>
    <DecisionSignatureUserTitleName>שופט</DecisionSignatureUserTitleName>
    <CaseName>סנא דקה ואח' נ' קובי יעקובי, ממלא מקום נציב שירות בתי הסוהר ואח'</CaseName>
    <DecisionNumberInCase>14</DecisionNumberInCase>
    <DecisionMeetingDate>2024-09-22T00:00:00+03:00</DecisionMeetingDate>
  </dt_Decision>
  <dt_DecisionCase>
    <DecisionID>0</DecisionID>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iesSelectionDS>
      <CaseParties>
        <PartyTypeName>בא כוח</PartyTypeName>
        <ProceedingType>כתב טענות עיקרי</ProceedingType>
        <PleaName>עתירה</PleaName>
        <PartyBelonging> - </PartyBelonging>
        <RoleName>בא כוח מבקשים</RoleName>
        <IsSubProceeding>FALSE</IsSubProceeding>
        <FullName>יהודה אליהו פואה</FullName>
        <FirstName>יהודה אליהו</FirstName>
        <LastName>פואה</LastName>
        <PartyPropertyName/>
        <AuthenticationTypeAndNumber>מ.ר. 98068</AuthenticationTypeAndNumber>
        <RepresentatedOrRepresentativesNames> , מירב שחר, אורן תמם, אלברט תמם, גליה תמם, נימרוד תמם</RepresentatedOrRepresentativesNames>
        <RepresentatedOrRepresentativesCount>6</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276532983</CasePartyID>
        <PartyTypeID>2</PartyTypeID>
        <ActivityStatusID>1</ActivityStatusID>
        <PartyAliasID>22</PartyAliasID>
        <PartyAliasName>בא כוח מבקשים</PartyAliasName>
        <LegalEntityID>81824685</LegalEntityID>
        <CaseLegalEntityID>131944055</CaseLegalEntityID>
        <AuthenticationTypeID>4</AuthenticationTypeID>
        <AuthenticationTypeName>מ.ר.</AuthenticationTypeName>
        <LegalEntityNumber>98068</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הלל 2 ירושלים </FullAddress>
        <EmailAddress>mijaell22@gmail.com</EmailAddress>
        <MotionID>0</MotionID>
        <CasePleaID>0</CasePleaID>
        <LinkedCaseID>0</LinkedCaseID>
        <PartyID>2</PartyID>
        <CasePartyCategoryID>2</CasePartyCategoryID>
        <LegalEntityAddressID>79639296</LegalEntityAddressID>
        <LegalEntityEmailAddressID>67935952</LegalEntityEmailAddressID>
        <PleaTypeID>20</PleaTypeID>
        <LawyerOfficeName>משרד עו"ד מיכאל ליטווק</LawyerOfficeName>
        <LawyerOfficeID>76150618</LawyerOfficeID>
        <GroupPartyAlias/>
        <IsConverted>false</IsConverted>
        <LegalEntityNameID>96373547</LegalEntityNameID>
        <RepresentatedNamesOfAssistant/>
        <LegalEntityTypeID>4</LegalEntityTypeID>
        <IsVerdictExists>false</IsVerdictExists>
        <IsAsirAzir>false</IsAsirAzir>
        <MainAndSecSpec/>
        <IsPublicationProhibited>false</IsPublicationProhibited>
        <PublicationProhibitedFullName>יהודה אליהו פואה</PublicationProhibitedFullName>
      </CaseParties>
      <CaseParties>
        <PartyTypeName>צד</PartyTypeName>
        <ProceedingType>כתב טענות עיקרי</ProceedingType>
        <PleaName>עתירה</PleaName>
        <PartyBelonging>צד א'</PartyBelonging>
        <RoleName>עותר 1</RoleName>
        <IsSubProceeding>FALSE</IsSubProceeding>
        <FullName>סנא דקה</FullName>
        <FirstName>סנא</FirstName>
        <LastName>דקה</LastName>
        <PartyPropertyName/>
        <AuthenticationTypeAndNumber>ת"ז 023223787</AuthenticationTypeAndNumber>
        <RepresentatedOrRepresentativesNames>סוהאד בשארה</RepresentatedOrRepresentativesNames>
        <RepresentatedOrRepresentativesCount>2</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275282099</CasePartyID>
        <PartyTypeID>1</PartyTypeID>
        <ActivityStatusID>1</ActivityStatusID>
        <PartyAliasID>14</PartyAliasID>
        <PartyAliasName>עותר</PartyAliasName>
        <OrdinalNumber>1</OrdinalNumber>
        <LegalEntityID>5511990</LegalEntityID>
        <CaseLegalEntityID>131682151</CaseLegalEntityID>
        <AuthenticationTypeID>1</AuthenticationTypeID>
        <AuthenticationTypeName>ת"ז</AuthenticationTypeName>
        <LegalEntityNumber>023223787</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1</PartyID>
        <CasePartyCategoryID>2</CasePartyCategoryID>
        <PleaTypeID>20</PleaTypeID>
        <GroupPartyAlias>עותרים</GroupPartyAlias>
        <IsConverted>true</IsConverted>
        <LegalEntityRegisteredNameID>9404775</LegalEntityRegisteredNameID>
        <LegalEntityNameID>97981477</LegalEntityNameID>
        <RepresentatedNamesOfAssistant/>
        <LegalEntityTypeID>1</LegalEntityTypeID>
        <IsVerdictExists>false</IsVerdictExists>
        <IsAsirAzir>false</IsAsirAzir>
        <MainAndSecSpec/>
        <IsPublicationProhibited>false</IsPublicationProhibited>
        <PublicationProhibitedFullName>סנא דקה</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אבי מיליקובסקי</FullName>
        <FirstName>אבי</FirstName>
        <LastName>מיליקובסקי</LastName>
        <PartyPropertyName/>
        <AuthenticationTypeAndNumber>מ.ר. 46905</AuthenticationTypeAndNumber>
        <RepresentatedOrRepresentativesNames> היועצת המשפטית לממשלה,  יעקב שבתאי, מפכ"ל המשטרה,  ניצב דני לוי, מפקד מחוז חוף,  קובי יעקובי, ממלא מקום נציב שירות בתי הסוהר, , שר הבטחון</RepresentatedOrRepresentativesNames>
        <RepresentatedOrRepresentativesCount>5</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275282106</CasePartyID>
        <PartyTypeID>2</PartyTypeID>
        <ActivityStatusID>1</ActivityStatusID>
        <PartyAliasID>23</PartyAliasID>
        <PartyAliasName>בא כוח משיבים</PartyAliasName>
        <OrdinalNumber>1</OrdinalNumber>
        <LegalEntityID>15879982</LegalEntityID>
        <CaseLegalEntityID>131682150</CaseLegalEntityID>
        <AuthenticationTypeID>4</AuthenticationTypeID>
        <AuthenticationTypeName>מ.ר.</AuthenticationTypeName>
        <LegalEntityNumber>46905</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פרקליטות המדינה, ירושלים</FullAddress>
        <EmailAddress>hcj-dep@justice.gov</EmailAddress>
        <MotionID>0</MotionID>
        <CasePleaID>0</CasePleaID>
        <LinkedCaseID>0</LinkedCaseID>
        <PartyID>2</PartyID>
        <CasePartyCategoryID>2</CasePartyCategoryID>
        <LegalEntityAddressID>90543793</LegalEntityAddressID>
        <LegalEntityEmailAddressID>68414691</LegalEntityEmailAddressID>
        <PleaTypeID>20</PleaTypeID>
        <LawyerOfficeName>פרקליטות המדינה - מחלקת בג"צים</LawyerOfficeName>
        <LawyerOfficeID>419586</LawyerOfficeID>
        <GroupPartyAlias/>
        <IsConverted>true</IsConverted>
        <LegalEntityNameID>17527082</LegalEntityNameID>
        <RepresentatedNamesOfAssistant/>
        <LegalEntityTypeID>4</LegalEntityTypeID>
        <IsVerdictExists>false</IsVerdictExists>
        <IsAsirAzir>false</IsAsirAzir>
        <MainAndSecSpec/>
        <IsPublicationProhibited>false</IsPublicationProhibited>
        <PublicationProhibitedFullName>אבי מיליקובסקי</PublicationProhibitedFullName>
      </CaseParties>
      <CaseParties>
        <PartyTypeName>צד</PartyTypeName>
        <ProceedingType>כתב טענות עיקרי</ProceedingType>
        <PleaName>עתירה</PleaName>
        <PartyBelonging>צד ב'</PartyBelonging>
        <RoleName>משיב 1</RoleName>
        <IsSubProceeding>FALSE</IsSubProceeding>
        <FullName>קובי יעקובי, ממלא מקום נציב שירות בתי הסוהר</FullName>
        <FirstName/>
        <LastName>קובי יעקובי, ממלא מקום נציב שירות בתי הסוהר</LastName>
        <PartyPropertyName/>
        <AuthenticationTypeAndNumber>ת"ז </AuthenticationTypeAndNumber>
        <RepresentatedOrRepresentativesNames>אבי מיליקובסקי</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275282100</CasePartyID>
        <PartyTypeID>1</PartyTypeID>
        <ActivityStatusID>1</ActivityStatusID>
        <PartyAliasID>4</PartyAliasID>
        <PartyAliasName>משיב</PartyAliasName>
        <OrdinalNumber>1</OrdinalNumber>
        <LegalEntityID>82861586</LegalEntityID>
        <CaseLegalEntityID>131682155</CaseLegalEntityID>
        <AuthenticationTypeID>1</AuthenticationTypeID>
        <AuthenticationTypeName>ת"ז</AuthenticationTypeName>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2</PartyID>
        <CasePartyCategoryID>2</CasePartyCategoryID>
        <PleaTypeID>20</PleaTypeID>
        <GroupPartyAlias>משיבים</GroupPartyAlias>
        <IsConverted>true</IsConverted>
        <LegalEntityNameID>97981479</LegalEntityNameID>
        <RepresentatedNamesOfAssistant/>
        <LegalEntityTypeID>1</LegalEntityTypeID>
        <IsVerdictExists>false</IsVerdictExists>
        <IsAsirAzir>false</IsAsirAzir>
        <MainAndSecSpec/>
        <IsPublicationProhibited>false</IsPublicationProhibited>
        <PublicationProhibitedFullName>קובי יעקובי, ממלא מקום נציב שירות בתי הסוהר</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סוהאד בשארה</FullName>
        <FirstName>סוהאד</FirstName>
        <LastName>בשארה</LastName>
        <PartyPropertyName/>
        <AuthenticationTypeAndNumber>מ.ר. 16978</AuthenticationTypeAndNumber>
        <RepresentatedOrRepresentativesNames> אסעד דקה,  סנא דקה</RepresentatedOrRepresentativesNames>
        <RepresentatedOrRepresentativesCount>4</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275282107</CasePartyID>
        <PartyTypeID>2</PartyTypeID>
        <ActivityStatusID>1</ActivityStatusID>
        <PartyAliasID>33</PartyAliasID>
        <PartyAliasName>בא כוח עותרים</PartyAliasName>
        <OrdinalNumber>2</OrdinalNumber>
        <LegalEntityID>397617</LegalEntityID>
        <CaseLegalEntityID>131682149</CaseLegalEntityID>
        <AuthenticationTypeID>4</AuthenticationTypeID>
        <AuthenticationTypeName>מ.ר.</AuthenticationTypeName>
        <LegalEntityNumber>16978</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יפו 94 חיפה ת.ד 8921</FullAddress>
        <EmailAddress>adalah@adalah.org</EmailAddress>
        <MotionID>0</MotionID>
        <CasePleaID>0</CasePleaID>
        <FatherName xml:space="preserve">        </FatherName>
        <LinkedCaseID>0</LinkedCaseID>
        <PartyID>1</PartyID>
        <CasePartyCategoryID>2</CasePartyCategoryID>
        <LegalEntityAddressID>75928169</LegalEntityAddressID>
        <LegalEntityEmailAddressID>67892537</LegalEntityEmailAddressID>
        <PleaTypeID>20</PleaTypeID>
        <LawyerOfficeName>משרד עו"ד: עדאלה</LawyerOfficeName>
        <LawyerOfficeID>427054</LawyerOfficeID>
        <GroupPartyAlias/>
        <IsConverted>false</IsConverted>
        <LegalEntityNameID>18601</LegalEntityNameID>
        <RepresentatedNamesOfAssistant/>
        <LegalEntityTypeID>4</LegalEntityTypeID>
        <IsVerdictExists>false</IsVerdictExists>
        <IsAsirAzir>false</IsAsirAzir>
        <MainAndSecSpec/>
        <IsPublicationProhibited>false</IsPublicationProhibited>
        <PublicationProhibitedFullName>סוהאד בשארה</PublicationProhibitedFullName>
      </CaseParties>
      <CaseParties>
        <PartyTypeName>צד</PartyTypeName>
        <ProceedingType>כתב טענות עיקרי</ProceedingType>
        <PleaName>עתירה</PleaName>
        <PartyBelonging>צד א'</PartyBelonging>
        <RoleName>עותר 2</RoleName>
        <IsSubProceeding>FALSE</IsSubProceeding>
        <FullName>אסעד דקה</FullName>
        <FirstName>אסעד</FirstName>
        <LastName>דקה</LastName>
        <PartyPropertyName/>
        <AuthenticationTypeAndNumber>ת"ז 059395582</AuthenticationTypeAndNumber>
        <RepresentatedOrRepresentativesNames>סוהאד בשארה</RepresentatedOrRepresentativesNames>
        <RepresentatedOrRepresentativesCount>2</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275282101</CasePartyID>
        <PartyTypeID>1</PartyTypeID>
        <ActivityStatusID>1</ActivityStatusID>
        <PartyAliasID>14</PartyAliasID>
        <PartyAliasName>עותר</PartyAliasName>
        <OrdinalNumber>2</OrdinalNumber>
        <LegalEntityID>75976274</LegalEntityID>
        <CaseLegalEntityID>131682152</CaseLegalEntityID>
        <AuthenticationTypeID>1</AuthenticationTypeID>
        <AuthenticationTypeName>ת"ז</AuthenticationTypeName>
        <LegalEntityNumber>059395582</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נימר</FatherName>
        <LinkedCaseID>0</LinkedCaseID>
        <PartyID>1</PartyID>
        <CasePartyCategoryID>2</CasePartyCategoryID>
        <PleaTypeID>20</PleaTypeID>
        <GroupPartyAlias>עותרים</GroupPartyAlias>
        <IsConverted>true</IsConverted>
        <LegalEntityRegisteredNameID>8426213</LegalEntityRegisteredNameID>
        <LegalEntityNameID>97981478</LegalEntityNameID>
        <RepresentatedNamesOfAssistant/>
        <LegalEntityTypeID>1</LegalEntityTypeID>
        <IsVerdictExists>false</IsVerdictExists>
        <IsAsirAzir>false</IsAsirAzir>
        <MainAndSecSpec/>
        <IsPublicationProhibited>false</IsPublicationProhibited>
        <PublicationProhibitedFullName>אסעד דקה</PublicationProhibitedFullName>
      </CaseParties>
      <CaseParties>
        <PartyTypeName>צד</PartyTypeName>
        <ProceedingType>כתב טענות עיקרי</ProceedingType>
        <PleaName>עתירה</PleaName>
        <PartyBelonging>צד ב'</PartyBelonging>
        <RoleName>משיב 2</RoleName>
        <IsSubProceeding>FALSE</IsSubProceeding>
        <FullName>ניצב דני לוי, מפקד מחוז חוף</FullName>
        <FirstName/>
        <LastName>ניצב דני לוי, מפקד מחוז חוף</LastName>
        <PartyPropertyName/>
        <AuthenticationTypeAndNumber>ת"ז </AuthenticationTypeAndNumber>
        <RepresentatedOrRepresentativesNames>אבי מיליקובסקי</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275282102</CasePartyID>
        <PartyTypeID>1</PartyTypeID>
        <ActivityStatusID>1</ActivityStatusID>
        <PartyAliasID>4</PartyAliasID>
        <PartyAliasName>משיב</PartyAliasName>
        <OrdinalNumber>2</OrdinalNumber>
        <LegalEntityID>82861652</LegalEntityID>
        <CaseLegalEntityID>131682154</CaseLegalEntityID>
        <AuthenticationTypeID>1</AuthenticationTypeID>
        <AuthenticationTypeName>ת"ז</AuthenticationTypeName>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2</PartyID>
        <CasePartyCategoryID>2</CasePartyCategoryID>
        <PleaTypeID>20</PleaTypeID>
        <GroupPartyAlias>משיבים</GroupPartyAlias>
        <IsConverted>true</IsConverted>
        <LegalEntityNameID>97981480</LegalEntityNameID>
        <RepresentatedNamesOfAssistant/>
        <LegalEntityTypeID>1</LegalEntityTypeID>
        <IsVerdictExists>false</IsVerdictExists>
        <IsAsirAzir>false</IsAsirAzir>
        <MainAndSecSpec/>
        <IsPublicationProhibited>false</IsPublicationProhibited>
        <PublicationProhibitedFullName>ניצב דני לוי, מפקד מחוז חוף</PublicationProhibitedFullName>
      </CaseParties>
      <CaseParties>
        <PartyTypeName>צד</PartyTypeName>
        <ProceedingType>כתב טענות עיקרי</ProceedingType>
        <PleaName>עתירה</PleaName>
        <PartyBelonging>צד ב'</PartyBelonging>
        <RoleName>משיב 3</RoleName>
        <IsSubProceeding>FALSE</IsSubProceeding>
        <FullName>יעקב שבתאי, מפכ"ל המשטרה</FullName>
        <FirstName/>
        <LastName>יעקב שבתאי, מפכ"ל המשטרה</LastName>
        <PartyPropertyName/>
        <AuthenticationTypeAndNumber>ת"ז </AuthenticationTypeAndNumber>
        <RepresentatedOrRepresentativesNames>אבי מיליקובסקי</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275282103</CasePartyID>
        <PartyTypeID>1</PartyTypeID>
        <ActivityStatusID>1</ActivityStatusID>
        <PartyAliasID>4</PartyAliasID>
        <PartyAliasName>משיב</PartyAliasName>
        <OrdinalNumber>3</OrdinalNumber>
        <LegalEntityID>82861587</LegalEntityID>
        <CaseLegalEntityID>131682156</CaseLegalEntityID>
        <AuthenticationTypeID>1</AuthenticationTypeID>
        <AuthenticationTypeName>ת"ז</AuthenticationTypeName>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2</PartyID>
        <CasePartyCategoryID>2</CasePartyCategoryID>
        <PleaTypeID>20</PleaTypeID>
        <GroupPartyAlias>משיבים</GroupPartyAlias>
        <IsConverted>true</IsConverted>
        <LegalEntityNameID>97981481</LegalEntityNameID>
        <RepresentatedNamesOfAssistant/>
        <LegalEntityTypeID>1</LegalEntityTypeID>
        <IsVerdictExists>false</IsVerdictExists>
        <IsAsirAzir>false</IsAsirAzir>
        <MainAndSecSpec/>
        <IsPublicationProhibited>false</IsPublicationProhibited>
        <PublicationProhibitedFullName>יעקב שבתאי, מפכ"ל המשטרה</PublicationProhibitedFullName>
      </CaseParties>
      <CaseParties>
        <PartyTypeName>צד</PartyTypeName>
        <ProceedingType>כתב טענות עיקרי</ProceedingType>
        <PleaName>עתירה</PleaName>
        <PartyBelonging>צד ב'</PartyBelonging>
        <RoleName>משיב 4</RoleName>
        <IsSubProceeding>FALSE</IsSubProceeding>
        <FullName>היועצת המשפטית לממשלה</FullName>
        <FirstName/>
        <LastName>היועצת המשפטית לממשלה</LastName>
        <PartyPropertyName/>
        <AuthenticationTypeAndNumber>ת"ז </AuthenticationTypeAndNumber>
        <RepresentatedOrRepresentativesNames>אבי מיליקובסקי</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275282104</CasePartyID>
        <PartyTypeID>1</PartyTypeID>
        <ActivityStatusID>1</ActivityStatusID>
        <PartyAliasID>4</PartyAliasID>
        <PartyAliasName>משיב</PartyAliasName>
        <OrdinalNumber>4</OrdinalNumber>
        <LegalEntityID>82861598</LegalEntityID>
        <CaseLegalEntityID>131682153</CaseLegalEntityID>
        <AuthenticationTypeID>1</AuthenticationTypeID>
        <AuthenticationTypeName>ת"ז</AuthenticationTypeName>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2</PartyID>
        <CasePartyCategoryID>2</CasePartyCategoryID>
        <PleaTypeID>20</PleaTypeID>
        <GroupPartyAlias>משיבים</GroupPartyAlias>
        <IsConverted>true</IsConverted>
        <LegalEntityNameID>97981482</LegalEntityNameID>
        <RepresentatedNamesOfAssistant/>
        <LegalEntityTypeID>1</LegalEntityTypeID>
        <IsVerdictExists>false</IsVerdictExists>
        <IsAsirAzir>false</IsAsirAzir>
        <MainAndSecSpec/>
        <IsPublicationProhibited>false</IsPublicationProhibited>
        <PublicationProhibitedFullName>היועצת המשפטית לממשלה</PublicationProhibitedFullName>
      </CaseParties>
      <CaseParties>
        <PartyTypeName>צד</PartyTypeName>
        <ProceedingType>כתב טענות עיקרי</ProceedingType>
        <PleaName>עתירה</PleaName>
        <PartyBelonging>צד ב'</PartyBelonging>
        <RoleName>משיב 5</RoleName>
        <IsSubProceeding>FALSE</IsSubProceeding>
        <FullName>, שר הבטחון</FullName>
        <FirstName>,</FirstName>
        <LastName>שר הבטחון</LastName>
        <PartyPropertyName/>
        <AuthenticationTypeAndNumber>ת"ז </AuthenticationTypeAndNumber>
        <RepresentatedOrRepresentativesNames>אבי מיליקובסקי</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275282105</CasePartyID>
        <PartyTypeID>1</PartyTypeID>
        <ActivityStatusID>1</ActivityStatusID>
        <PartyAliasID>4</PartyAliasID>
        <PartyAliasName>משיב</PartyAliasName>
        <OrdinalNumber>5</OrdinalNumber>
        <LegalEntityID>82861819</LegalEntityID>
        <CaseLegalEntityID>131682157</CaseLegalEntityID>
        <AuthenticationTypeID>1</AuthenticationTypeID>
        <AuthenticationTypeName>ת"ז</AuthenticationTypeName>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
        <LinkedCaseID>0</LinkedCaseID>
        <PartyID>2</PartyID>
        <CasePartyCategoryID>2</CasePartyCategoryID>
        <PleaTypeID>20</PleaTypeID>
        <GroupPartyAlias>משיבים</GroupPartyAlias>
        <IsConverted>true</IsConverted>
        <LegalEntityNameID>97981483</LegalEntityNameID>
        <RepresentatedNamesOfAssistant/>
        <LegalEntityTypeID>1</LegalEntityTypeID>
        <IsVerdictExists>false</IsVerdictExists>
        <IsAsirAzir>false</IsAsirAzir>
        <MainAndSecSpec/>
        <IsPublicationProhibited>false</IsPublicationProhibited>
        <PublicationProhibitedFullName>, שר הבטחון</PublicationProhibitedFullName>
      </CaseParties>
      <CaseParties>
        <PartyTypeName>צד</PartyTypeName>
        <ProceedingType>כתב טענות עיקרי</ProceedingType>
        <PleaName>עתירה</PleaName>
        <PartyBelonging>צד ב'</PartyBelonging>
        <RoleName>משיב 6</RoleName>
        <IsSubProceeding>FALSE</IsSubProceeding>
        <FullName>גליה תמם</FullName>
        <FirstName>גליה</FirstName>
        <LastName>תמם</LastName>
        <PartyPropertyName/>
        <AuthenticationTypeAndNumber>ת"ז 063613319</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276533012</CasePartyID>
        <PartyTypeID>1</PartyTypeID>
        <ActivityStatusID>1</ActivityStatusID>
        <PartyAliasID>4</PartyAliasID>
        <PartyAliasName>משיב</PartyAliasName>
        <OrdinalNumber>6</OrdinalNumber>
        <LegalEntityID>22085845</LegalEntityID>
        <CaseLegalEntityID>131926735</CaseLegalEntityID>
        <AuthenticationTypeID>1</AuthenticationTypeID>
        <AuthenticationTypeName>ת"ז</AuthenticationTypeName>
        <LegalEntityNumber>063613319</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מוריס</FatherName>
        <LinkedCaseID>0</LinkedCaseID>
        <PartyID>2</PartyID>
        <CasePartyCategoryID>2</CasePartyCategoryID>
        <PleaTypeID>20</PleaTypeID>
        <GroupPartyAlias>משיבים</GroupPartyAlias>
        <IsConverted>false</IsConverted>
        <LegalEntityRegisteredNameID>4384232</LegalEntityRegisteredNameID>
        <LegalEntityNameID>98089400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גליה תמם</PublicationProhibitedFullName>
      </CaseParties>
      <CaseParties>
        <PartyTypeName>צד</PartyTypeName>
        <ProceedingType>כתב טענות עיקרי</ProceedingType>
        <PleaName>עתירה</PleaName>
        <PartyBelonging>צד ב'</PartyBelonging>
        <RoleName>משיב 7</RoleName>
        <IsSubProceeding>FALSE</IsSubProceeding>
        <FullName>אורן תמם</FullName>
        <FirstName>אורן</FirstName>
        <LastName>תמם</LastName>
        <PartyPropertyName/>
        <AuthenticationTypeAndNumber>ת"ז 057749483</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276533024</CasePartyID>
        <PartyTypeID>1</PartyTypeID>
        <ActivityStatusID>1</ActivityStatusID>
        <PartyAliasID>4</PartyAliasID>
        <PartyAliasName>משיב</PartyAliasName>
        <OrdinalNumber>7</OrdinalNumber>
        <LegalEntityID>70505872</LegalEntityID>
        <CaseLegalEntityID>131926736</CaseLegalEntityID>
        <AuthenticationTypeID>1</AuthenticationTypeID>
        <AuthenticationTypeName>ת"ז</AuthenticationTypeName>
        <LegalEntityNumber>057749483</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אלי</FatherName>
        <LinkedCaseID>0</LinkedCaseID>
        <PartyID>2</PartyID>
        <CasePartyCategoryID>2</CasePartyCategoryID>
        <PleaTypeID>20</PleaTypeID>
        <GroupPartyAlias>משיבים</GroupPartyAlias>
        <IsConverted>false</IsConverted>
        <LegalEntityRegisteredNameID>6542535</LegalEntityRegisteredNameID>
        <LegalEntityNameID>98089401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אורן תמם</PublicationProhibitedFullName>
      </CaseParties>
      <CaseParties>
        <PartyTypeName>צד</PartyTypeName>
        <ProceedingType>כתב טענות עיקרי</ProceedingType>
        <PleaName>עתירה</PleaName>
        <PartyBelonging>צד ב'</PartyBelonging>
        <RoleName>משיב 8</RoleName>
        <IsSubProceeding>FALSE</IsSubProceeding>
        <FullName>אלברט תמם</FullName>
        <FirstName>אלברט</FirstName>
        <LastName>תמם</LastName>
        <PartyPropertyName/>
        <AuthenticationTypeAndNumber>ת"ז 058705955</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276533025</CasePartyID>
        <PartyTypeID>1</PartyTypeID>
        <ActivityStatusID>1</ActivityStatusID>
        <PartyAliasID>4</PartyAliasID>
        <PartyAliasName>משיב</PartyAliasName>
        <OrdinalNumber>8</OrdinalNumber>
        <LegalEntityID>71448173</LegalEntityID>
        <CaseLegalEntityID>131926737</CaseLegalEntityID>
        <AuthenticationTypeID>1</AuthenticationTypeID>
        <AuthenticationTypeName>ת"ז</AuthenticationTypeName>
        <LegalEntityNumber>058705955</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אלי</FatherName>
        <LinkedCaseID>0</LinkedCaseID>
        <PartyID>2</PartyID>
        <CasePartyCategoryID>2</CasePartyCategoryID>
        <PleaTypeID>20</PleaTypeID>
        <GroupPartyAlias>משיבים</GroupPartyAlias>
        <IsConverted>false</IsConverted>
        <LegalEntityRegisteredNameID>3249454</LegalEntityRegisteredNameID>
        <LegalEntityNameID>98089402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אלברט תמם</PublicationProhibitedFullName>
      </CaseParties>
      <CaseParties>
        <PartyTypeName>צד</PartyTypeName>
        <ProceedingType>כתב טענות עיקרי</ProceedingType>
        <PleaName>עתירה</PleaName>
        <PartyBelonging>צד ב'</PartyBelonging>
        <RoleName>משיב 9</RoleName>
        <IsSubProceeding>FALSE</IsSubProceeding>
        <FullName>נימרוד תמם</FullName>
        <FirstName>נימרוד</FirstName>
        <LastName>תמם</LastName>
        <PartyPropertyName/>
        <AuthenticationTypeAndNumber>ת"ז 024674699</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276533040</CasePartyID>
        <PartyTypeID>1</PartyTypeID>
        <ActivityStatusID>1</ActivityStatusID>
        <PartyAliasID>4</PartyAliasID>
        <PartyAliasName>משיב</PartyAliasName>
        <OrdinalNumber>9</OrdinalNumber>
        <LegalEntityID>23668404</LegalEntityID>
        <CaseLegalEntityID>131926738</CaseLegalEntityID>
        <AuthenticationTypeID>1</AuthenticationTypeID>
        <AuthenticationTypeName>ת"ז</AuthenticationTypeName>
        <LegalEntityNumber>024674699</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אלי</FatherName>
        <LinkedCaseID>0</LinkedCaseID>
        <PartyID>2</PartyID>
        <CasePartyCategoryID>2</CasePartyCategoryID>
        <PleaTypeID>20</PleaTypeID>
        <GroupPartyAlias>משיבים</GroupPartyAlias>
        <IsConverted>false</IsConverted>
        <LegalEntityRegisteredNameID>7108581</LegalEntityRegisteredNameID>
        <LegalEntityNameID>98089403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נימרוד תמם</PublicationProhibitedFullName>
      </CaseParties>
      <CaseParties>
        <PartyTypeName>צד</PartyTypeName>
        <ProceedingType>כתב טענות עיקרי</ProceedingType>
        <PleaName>עתירה</PleaName>
        <PartyBelonging>צד ב'</PartyBelonging>
        <RoleName>משיב 10</RoleName>
        <IsSubProceeding>FALSE</IsSubProceeding>
        <FullName>מירב שחר</FullName>
        <FirstName>מירב</FirstName>
        <LastName>שחר</LastName>
        <PartyPropertyName/>
        <AuthenticationTypeAndNumber>ת"ז 036486447</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276533041</CasePartyID>
        <PartyTypeID>1</PartyTypeID>
        <ActivityStatusID>1</ActivityStatusID>
        <PartyAliasID>4</PartyAliasID>
        <PartyAliasName>משיב</PartyAliasName>
        <OrdinalNumber>10</OrdinalNumber>
        <LegalEntityID>82916298</LegalEntityID>
        <CaseLegalEntityID>131926739</CaseLegalEntityID>
        <AuthenticationTypeID>1</AuthenticationTypeID>
        <AuthenticationTypeName>ת"ז</AuthenticationTypeName>
        <LegalEntityNumber>036486447</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
        <MotionID>0</MotionID>
        <CasePleaID>0</CasePleaID>
        <FatherName>אלי</FatherName>
        <LinkedCaseID>0</LinkedCaseID>
        <PartyID>2</PartyID>
        <CasePartyCategoryID>2</CasePartyCategoryID>
        <PleaTypeID>20</PleaTypeID>
        <GroupPartyAlias>משיבים</GroupPartyAlias>
        <IsConverted>false</IsConverted>
        <LegalEntityRegisteredNameID>10860272</LegalEntityRegisteredNameID>
        <LegalEntityNameID>98089404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מירב שחר</PublicationProhibitedFullName>
      </CaseParties>
      <CaseParties>
        <PartyTypeName>צד</PartyTypeName>
        <ProceedingType>כתב טענות עיקרי</ProceedingType>
        <PleaName>עתירה</PleaName>
        <PartyBelonging>צד ב'</PartyBelonging>
        <RoleName>משיב 11</RoleName>
        <IsSubProceeding>FALSE</IsSubProceeding>
        <FullName>"בצלמו" ארגון זכויות אדם ברוח יהודית (ע"ר)</FullName>
        <LastName>"בצלמו" ארגון זכויות אדם ברוח יהודית (ע"ר)</LastName>
        <PartyPropertyName/>
        <AuthenticationTypeAndNumber>עמותות 580622041</AuthenticationTypeAndNumber>
        <RepresentatedOrRepresentativesNames>יהודה אליהו פואה</RepresentatedOrRepresentativesNames>
        <RepresentatedOrRepresentativesCount>1</RepresentatedOrRepresentativesCount>
        <InvitedBy/>
        <CaseID>81831601</CaseID>
        <CaseJudicialPersonPresentationDS>
          <CaseJudicalPersonActive>
            <CaseID>81831601</CaseID>
            <JudicialPersonID>1</JudicialPersonID>
            <JudicialPersonTypeID>1</JudicialPersonTypeID>
            <IsChairman>true</IsChairman>
            <TreatmentStartDate>2024-09-22T11:32:49.3832759+03:00</TreatmentStartDate>
            <TreatmentFinishDate>2024-09-22T11:32:49.3832759+03:00</TreatmentFinishDate>
            <DisplayName>יצחק עמית</DisplayName>
            <JudicialTypeName>שופט</JudicialTypeName>
          </CaseJudicalPersonActive>
        </CaseJudicialPersonPresentationDS>
        <CasePartyID>276533044</CasePartyID>
        <PartyTypeID>1</PartyTypeID>
        <ActivityStatusID>1</ActivityStatusID>
        <PartyAliasID>4</PartyAliasID>
        <PartyAliasName>משיב</PartyAliasName>
        <OrdinalNumber>11</OrdinalNumber>
        <LegalEntityID>81863964</LegalEntityID>
        <CaseLegalEntityID>131926740</CaseLegalEntityID>
        <AuthenticationTypeID>8</AuthenticationTypeID>
        <AuthenticationTypeName>עמותות</AuthenticationTypeName>
        <LegalEntityNumber>580622041</LegalEntityNumber>
        <IsMainPartyType>true</IsMainPartyType>
        <CaseDisplayIdentifier>3289-24</CaseDisplayIdentifier>
        <CaseTypeID>10140</CaseTypeID>
        <CaseTypeName>עתירה לבג"ץ (בג"ץ)</CaseTypeName>
        <CaseName>סנא דקה ואח' נ' קובי יעקובי, ממלא מקום נציב שירות בתי הסוהר ואח'</CaseName>
        <FullAddress>1 מצפה נטופה </FullAddress>
        <EmailAddress>puay10@gamil.com</EmailAddress>
        <MotionID>0</MotionID>
        <CasePleaID>0</CasePleaID>
        <LinkedCaseID>0</LinkedCaseID>
        <PartyID>2</PartyID>
        <CasePartyCategoryID>2</CasePartyCategoryID>
        <LegalEntityAddressID>89223314</LegalEntityAddressID>
        <LegalEntityEmailAddressID>68392777</LegalEntityEmailAddressID>
        <PleaTypeID>20</PleaTypeID>
        <GroupPartyAlias>משיבים</GroupPartyAlias>
        <IsConverted>false</IsConverted>
        <LegalEntityRegisteredNameID>10725765</LegalEntityRegisteredNameID>
        <RepresentatedNamesOfAssistant/>
        <LegalEntityTypeID>3</LegalEntityTypeID>
        <IsVerdictExists>false</IsVerdictExists>
        <IsAsirAzir>false</IsAsirAzir>
        <MainAndSecSpec/>
        <IsPublicationProhibited>false</IsPublicationProhibited>
        <PublicationProhibitedFullName>"בצלמו" ארגון זכויות אדם ברוח יהודית (ע"ר)</PublicationProhibitedFullName>
      </CaseParties>
    </CasePartiesSelectionDS>
    <CaseName>סנא דקה ואח' נ' קובי יעקובי, ממלא מקום נציב שירות בתי הסוהר ואח'</CaseName>
    <CaseDisplayIdentifier>3289/24</CaseDisplayIdentifier>
    <CaseInterestID>10770</CaseInterestID>
    <CaseTypeShortName>בג"ץ</CaseTypeShortName>
  </dt_DecisionCase>
  <dt_DecisionJudgePanel>
    <JudgeID>055489611@GOV.IL</JudgeID>
    <DisplayName>יצחק עמית</DisplayName>
    <RoleName>שופט</RoleName>
    <UserTitleName>שופט</UserTitleName>
  </dt_DecisionJudgePanel>
  <dt_LegalEntityDetails>
    <Fax>077-3183141</Fax>
    <Phone>02-6240440</Phone>
    <PartyID>2</PartyID>
    <PartyTypeID>2</PartyTypeID>
    <DecisionID>0</DecisionID>
    <StreetName>הלל 2</StreetName>
    <ZipCode>9458102</ZipCode>
    <CityName>ירושלים</CityName>
    <FullName>יהודה אליהו פואה</FullName>
    <Email>mijaell22@gmail.com</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2</PartyTypeID>
    <DecisionID>0</DecisionID>
    <FullName>אבי מיליקובסקי</FullName>
    <Email>hcj-dep@justice.gov</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Fax>04-9503140</Fax>
    <Phone>04-9501610</Phone>
    <AddressDesc>ת.ד 8921</AddressDesc>
    <PartyID>1</PartyID>
    <PartyTypeID>2</PartyTypeID>
    <DecisionID>0</DecisionID>
    <StreetName>יפו 94</StreetName>
    <ZipCode>31090</ZipCode>
    <CityName>חיפה</CityName>
    <FullName>סוהאד בשארה</FullName>
    <Email>adalah@adalah.org</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StreetName>1</StreetName>
    <ZipCode>1529500</ZipCode>
    <CityName>מצפה נטופה</CityName>
    <FullName> "בצלמו" ארגון זכויות אדם ברוח יהודית (ע"ר)</FullName>
    <Email>puay10@gamil.com</Email>
    <IsPublicationProhibited>false</IsPublicationProhibited>
  </dt_LegalEntityDetails>
  <dt_CaseJudicalPersonActive>
    <CaseJudicalPerson xml:space="preserve">  </CaseJudicalPerson>
  </dt_CaseJudicalPersonActive>
  <dt_Sitting>
    <PreviousMeetingDate>2024-08-21T11:00:00+03:00</PreviousMeetingDate>
    <PreviousSittingTypeID>5</PreviousSittingTypeID>
    <PreviousMeetingDisplayName>יצחק עמית, עופר גרוסקופף, גילה כנפי-שטייניץ</PreviousMeetingDisplayName>
    <PreviousMeetingUserUPN>024602203@GOV.IL, 055475867@GOV.IL, 055489611@GOV.IL</PreviousMeetingUserUPN>
  </dt_Sitting>
</DecisionTemplateDS>
</file>

<file path=customXml/itemProps1.xml><?xml version="1.0" encoding="utf-8"?>
<ds:datastoreItem xmlns:ds="http://schemas.openxmlformats.org/officeDocument/2006/customXml" ds:itemID="{606D44E7-0E3E-4244-9F66-8ACB69D3351D}"/>
</file>

<file path=customXml/itemProps10.xml><?xml version="1.0" encoding="utf-8"?>
<ds:datastoreItem xmlns:ds="http://schemas.openxmlformats.org/officeDocument/2006/customXml" ds:itemID="{08704D1D-53D8-4AB8-8423-EA5F9B176035}">
  <ds:schemaRefs>
    <ds:schemaRef ds:uri="http://schemas.openxmlformats.org/officeDocument/2006/bibliography"/>
  </ds:schemaRefs>
</ds:datastoreItem>
</file>

<file path=customXml/itemProps2.xml><?xml version="1.0" encoding="utf-8"?>
<ds:datastoreItem xmlns:ds="http://schemas.openxmlformats.org/officeDocument/2006/customXml" ds:itemID="{AEE39506-ACBC-46D2-906B-D65CFF600B21}"/>
</file>

<file path=customXml/itemProps3.xml><?xml version="1.0" encoding="utf-8"?>
<ds:datastoreItem xmlns:ds="http://schemas.openxmlformats.org/officeDocument/2006/customXml" ds:itemID="{45DC13DE-3740-488F-AE18-8948C8D293A1}"/>
</file>

<file path=customXml/itemProps4.xml><?xml version="1.0" encoding="utf-8"?>
<ds:datastoreItem xmlns:ds="http://schemas.openxmlformats.org/officeDocument/2006/customXml" ds:itemID="{23C5899A-F03D-4C8A-BF0B-ADA21C2C522D}"/>
</file>

<file path=customXml/itemProps5.xml><?xml version="1.0" encoding="utf-8"?>
<ds:datastoreItem xmlns:ds="http://schemas.openxmlformats.org/officeDocument/2006/customXml" ds:itemID="{E32C62CB-0B2D-4E5E-9EC2-2EB10F56A30B}"/>
</file>

<file path=customXml/itemProps6.xml><?xml version="1.0" encoding="utf-8"?>
<ds:datastoreItem xmlns:ds="http://schemas.openxmlformats.org/officeDocument/2006/customXml" ds:itemID="{EF49739A-4CF7-4ECD-931D-944A66ADA5F9}"/>
</file>

<file path=customXml/itemProps7.xml><?xml version="1.0" encoding="utf-8"?>
<ds:datastoreItem xmlns:ds="http://schemas.openxmlformats.org/officeDocument/2006/customXml" ds:itemID="{B327D6DF-2D82-465B-B209-10A7014FE053}"/>
</file>

<file path=customXml/itemProps8.xml><?xml version="1.0" encoding="utf-8"?>
<ds:datastoreItem xmlns:ds="http://schemas.openxmlformats.org/officeDocument/2006/customXml" ds:itemID="{6E84A1B0-4EF1-4994-B529-3444283DEC40}"/>
</file>

<file path=customXml/itemProps9.xml><?xml version="1.0" encoding="utf-8"?>
<ds:datastoreItem xmlns:ds="http://schemas.openxmlformats.org/officeDocument/2006/customXml" ds:itemID="{464A5DA8-FBEE-498F-ABB3-D85D2D4B39B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5918</Words>
  <Characters>29592</Characters>
  <Application>Microsoft Office Word</Application>
  <DocSecurity>4</DocSecurity>
  <Lines>246</Lines>
  <Paragraphs>70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2024-09-29T10:30:00Z</cp:lastPrinted>
  <dcterms:created xsi:type="dcterms:W3CDTF">2024-10-01T04:59:00Z</dcterms:created>
  <dcterms:modified xsi:type="dcterms:W3CDTF">2024-10-01T04:59:00Z</dcterms:modified>
</cp:coreProperties>
</file>